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Osłabienie się złotego w grze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09.05.2017, 9:00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długim majowym weekendzie, po wyborach prezydenckich we Francji oraz majowych danych z rynku pracy USA na rynku złotego zaszły spore zmiany. Doszło do realizacji zapowiadanego przez nas umocnienia się złotówki do bardzo istotnych poziomów, po czym nastąpiła pierwsza reakcja osłabiająca polską walutę.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</w:t>
        </w:r>
      </w:hyperlink>
      <w:r>
        <w:rPr>
          <w:rFonts w:ascii="calibri" w:hAnsi="calibri" w:eastAsia="calibri" w:cs="calibri"/>
          <w:sz w:val="24"/>
          <w:szCs w:val="24"/>
        </w:rPr>
        <w:t xml:space="preserve"> 3 i 8 maja płaciliśmy najmniej od września 2015 roku tj. poniżej 4,19. Cena zareagowała na poziomie 127,2 ostatniego impulsu wzrostowego, a wielkość korekcyjnej reakcji na ponad 3 grosze daje sygnał do dużej aktywacji zleceń buy. Zrealizowanie się proeuropejskiego scenariusza wyborów prezydenckich we Francji, powinno przynajmniej na pewien czas osłabić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szerokim rynku, ponieważ inwestorzy już przed II turą wyborów wyceniali taki wynik. Zwycięstwo Emmanuela Macrona nie wzmocni jednak złotego, gdyż rynek zacznie wyceniać ryzyka związane z wyborami parlamentarnymi we Francji. Dodatkowo zapowiedzi Macrona o Europie dwóch prędkości i osobnym wspólnym budżecie krajów strefy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będą wpływać niekorzystnie na polską walutę. Wczoraj doszło do realizacji zysków, przez co cena testowała poziom 4,23. W przypadku dalszych wzrostów oporem będzie mierzenie 61,8% Fibo ostatniego impulsu spadkowego. W przypadku jego pokonania oporem będzie bardzo ważny poziom 4,26, gdzie wypada równość korekt w trendzie spadkowym, głębokie mierzenie 78,6% Fibo ostatniego impulsu spadkowego i strefa price action. W przypadku spadków wsparciem pozostają ostatnie lokalne dołki.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Zeszłotygodniowe dane z amerykańskiego rynku pracy były w cieniu niepewności związanej z wyborami we Francji. Od poniedziałku inwestorzy zwrócili swe oczy ku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dolarowi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zaczęli wyceniać prawdopodobieństwo czerwcowej podwyżki stóp procentowych. Będzie to miało zdecydowanie ogromne znaczenie na notowania par walutowych denominowanych do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tym także do złotego. W kwietniu wielokrotnie wspominaliśmy, iż jest duże prawdopodobieństwo, iż punktem zwrotnym na tej parze będzie techniczny poziom 3,82 i tak też się stało. Popyt zdecydowanie zareagował i doszło do korekty na ponad 5 groszy w ciągu jednej sesji. Warto przypomnieć, że znajdujemy się w strefie popytowej pomiędzy mierzeniami 78,6% a 88,6% Fibo z szerokiego interwału W1, gdzie cena w poprzednich dwóch przypadkach reagowała. Dodatkowo po raz kolejny przetestowaliśmy linię trendową wyrysowaną po dołkach z sierpnia 2015, marca i sierpnia 2016. W krótkim terminie powinno dojść do dalszych wzrostów z oporem na 3,89, gdzie znajduje się strefa ZZB. W przypadku dalszych wzrostów celem dla ceny będzie poziom 3,94. W przypadku spadków wsparciem pozostaje poziom lokalnych dołków przy 3,82.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</w:t>
        </w:r>
      </w:hyperlink>
      <w:r>
        <w:rPr>
          <w:rFonts w:ascii="calibri" w:hAnsi="calibri" w:eastAsia="calibri" w:cs="calibri"/>
          <w:sz w:val="24"/>
          <w:szCs w:val="24"/>
        </w:rPr>
        <w:t xml:space="preserve"> podobnie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</w:t>
        </w:r>
      </w:hyperlink>
      <w:r>
        <w:rPr>
          <w:rFonts w:ascii="calibri" w:hAnsi="calibri" w:eastAsia="calibri" w:cs="calibri"/>
          <w:sz w:val="24"/>
          <w:szCs w:val="24"/>
        </w:rPr>
        <w:t xml:space="preserve"> zaksięgował techniczne poziomy, po czym nastąpiło odbicie. Reakcja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funcie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na ponad 5 groszy i należy się spodziewać dalszego podbijania ceny. Wskazywaliśmy, iż mamy do czynienia z dużo i małą formacją oRGR, które w przypadku dalszych wzrostów zostaną potwierdzone. Celem dla byków jest poziom 5,12, czyli poziom szyi mniejszego oRGR. W przypadku spadków cena kolejny raz może przetestować poziom 4,95.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eur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usd-pln" TargetMode="External"/><Relationship Id="rId10" Type="http://schemas.openxmlformats.org/officeDocument/2006/relationships/image" Target="media/section_image2.png"/><Relationship Id="rId11" Type="http://schemas.openxmlformats.org/officeDocument/2006/relationships/image" Target="media/section_image3.png"/><Relationship Id="rId12" Type="http://schemas.openxmlformats.org/officeDocument/2006/relationships/hyperlink" Target="https://ergokantor.pl/kurs-gbp-pln" TargetMode="External"/><Relationship Id="rId13" Type="http://schemas.openxmlformats.org/officeDocument/2006/relationships/image" Target="media/section_image4.png"/><Relationship Id="rId14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2024-04-25T14:32:29+02:00</dcterms:created>
  <dcterms:modified xsi:type="dcterms:W3CDTF">2024-04-25T14:32:29+02:00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