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stosunku do USD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https://ergokantor.pl/zlotowka-dalej-mocna.html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USDPLN</w:t>
      </w:r>
    </w:p>
    <w:p>
      <w:r>
        <w:rPr>
          <w:rFonts w:ascii="calibri" w:hAnsi="calibri" w:eastAsia="calibri" w:cs="calibri"/>
          <w:sz w:val="24"/>
          <w:szCs w:val="24"/>
        </w:rPr>
        <w:t xml:space="preserve">W stosunku do USD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https://ergokantor.pl/zlotowka-dalej-mocna.html</w:t>
      </w:r>
    </w:p>
    <w:p>
      <w:r>
        <w:rPr>
          <w:rFonts w:ascii="calibri" w:hAnsi="calibri" w:eastAsia="calibri" w:cs="calibri"/>
          <w:sz w:val="24"/>
          <w:szCs w:val="24"/>
        </w:rPr>
        <w:t xml:space="preserve">28.08.2017, 9:00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2024-04-20T17:01:29+02:00</dcterms:created>
  <dcterms:modified xsi:type="dcterms:W3CDTF">2024-04-20T17:01:29+02:00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