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Wpływ rynku opcji walutowych na ceny rynkowe walut.</w:t>
      </w:r>
    </w:p>
    <w:p>
      <w:pPr>
        <w:spacing w:before="0" w:after="500" w:line="264" w:lineRule="auto"/>
      </w:pPr>
      <w:r>
        <w:rPr>
          <w:rFonts w:ascii="calibri" w:hAnsi="calibri" w:eastAsia="calibri" w:cs="calibri"/>
          <w:sz w:val="36"/>
          <w:szCs w:val="36"/>
          <w:b/>
        </w:rPr>
        <w:t xml:space="preserve">Budując swoją strategię inwestycyjną inwestorzy, gracze czy traderzy dobierają według swojego uznania i podejścia do rynku, parametry bez których nie są wstanie podjąć decyzji jaki kierunek bazowy wybiorą w analizowanym okresie czasu.</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„Część strategii na podstawie której analizujemy rynek walut oraz nakreślamy swoje scenariusze, jest oparty na kształtowaniu się rynku opcji walutowych. Oczywiście jak każdy wskaźnik na rynku forex również i dane opcyjne nie dają nam pewności co do zakładanego scenariusza, jednakże w przypadku mniejszej zmienności na rynku danej pary walutowej, mogą mieć one wpływ na krótkoterminowy ruch pary walutowej” wyjaśnia analityk </w:t>
      </w:r>
      <w:hyperlink r:id="rId7"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rPr>
        <w:t xml:space="preserve">Analiza rynku pod względem rynku opcji nie jest jednak taka prosta jak mogłoby się wydawać. Opcja to instrument pochodny, który pozwala nabyć lub sprzedać określony instrument finansowy (w tym przypadku walutę) po z góry określonej cenie. Analizę opcji opiera się na podstawie opcji waniliowych, dla których to należy odróżnić kupującego opcję od wystawcy opcji. Niestety dane publikowane z rynku opcji określają tylko rodzaj pary walutowej, wartość po jakiej cenie wygasa opcja oraz wartość ceny wygasającej opcji, natomiast nie otrzymujemy informacji o tym, czy opcja jest typu CALL czy też PUT. Ważną informacją jest także to, iż opcje walutowe wygasają o godzinie 16.00 czasu polskiego.</w:t>
      </w:r>
    </w:p>
    <w:p>
      <w:pPr>
        <w:spacing w:before="0" w:after="300"/>
      </w:pPr>
    </w:p>
    <w:p>
      <w:pPr>
        <w:spacing w:before="0" w:after="300"/>
      </w:pPr>
      <w:r>
        <w:rPr>
          <w:rFonts w:ascii="calibri" w:hAnsi="calibri" w:eastAsia="calibri" w:cs="calibri"/>
          <w:sz w:val="24"/>
          <w:szCs w:val="24"/>
        </w:rPr>
        <w:t xml:space="preserve">Przeanalizujmy zatem sytuację otrzymania informacji, iż na rynku EURUSD w danym dniu wygasają opcje na poziomie 1,06 o wartości 1,2bln EUR. W przypadku kiedy kalendarz wydarzeń makroekonomicznych jest ubogi, a implikowana zmienność cen oparta na cenach kontraktów opcyjnych nie zakłada znacznych ruchów ceny, wtedy możemy się spodziewać „walki” w okolicach ceny wygaśnięcia opcji pomiędzy posiadającymi opcję a wystawcami opcji. Jest to spowodowane faktem, iż posiadający opcję CALL chcą by cena była niższa niż wspomniane 1,06 ,zaś posiadacze opcji PUT chcą by cena była wyższa niż 1,06. Ważną rolę odgrywają także wystawcy opcji, którym oczywiście zależy by cena instrumentu bazowego w chwili wygasania opcji była niższa od ceny jej wykonania w przypadku opcji CALL lub wyższa w przypadku opcji PUT. Zatem realizując taki kontrakt nabywca opcji poniósłby stratę, dlatego też wykorzystując przysługujące mu prawo - nie realizuje jej.</w:t>
      </w:r>
    </w:p>
    <w:p>
      <w:pPr>
        <w:spacing w:before="0" w:after="300"/>
      </w:pPr>
    </w:p>
    <w:p>
      <w:pPr>
        <w:spacing w:before="0" w:after="300"/>
      </w:pPr>
      <w:r>
        <w:rPr>
          <w:rFonts w:ascii="calibri" w:hAnsi="calibri" w:eastAsia="calibri" w:cs="calibri"/>
          <w:sz w:val="24"/>
          <w:szCs w:val="24"/>
        </w:rPr>
        <w:t xml:space="preserve">Bardzo istotna jest wartość opcji oraz jej wartość rynkowa. Dla głównych par walutowych by jeszcze bardziej zwiększyć prawdopodobieństwo istotności danej opcji warto brać pod uwagę tylko większe wielkości tj. powyżej 1 bln. Dla par powiązanych z polskim złotym nawet 10% tej wartości może mieć znaczenie dla rynku. Jeśli chodzi o cenę wygaśnięcia opcji to dla rynku mogą mieć znaczenie opcje, których poziom wykonania jest stosunkowo blisko aktualnej ceny rynkowej tj. 40-70 pp. Relatywnie niewielka różnica sprawi, że zarówno nabywcy jak i wystawcy opcji będą “walczyć” na rynku by uzyskać korzyść dla siebie. W przypadku par opartych na złotym to odchylenie ceny opcji od ceny rynkowej może być większe i wynosić ok 150 pp. Aby racjonalnie ocenić czy rynek ma szanse zrealizować cenę zamknięcia opcji należy uwzględnić implikowaną zmienność na danym instrumencie oraz średnią zmienną ceny w czasie.</w:t>
      </w:r>
    </w:p>
    <w:p>
      <w:pPr>
        <w:spacing w:before="0" w:after="300"/>
      </w:pPr>
    </w:p>
    <w:p>
      <w:pPr>
        <w:spacing w:before="0" w:after="300"/>
      </w:pPr>
      <w:r>
        <w:rPr>
          <w:rFonts w:ascii="calibri" w:hAnsi="calibri" w:eastAsia="calibri" w:cs="calibri"/>
          <w:sz w:val="24"/>
          <w:szCs w:val="24"/>
        </w:rPr>
        <w:t xml:space="preserve">Jeśli zatem analizujemy rynek </w:t>
      </w:r>
      <w:hyperlink r:id="rId8" w:history="1">
        <w:r>
          <w:rPr>
            <w:rFonts w:ascii="calibri" w:hAnsi="calibri" w:eastAsia="calibri" w:cs="calibri"/>
            <w:color w:val="0000FF"/>
            <w:sz w:val="24"/>
            <w:szCs w:val="24"/>
            <w:u w:val="single"/>
          </w:rPr>
          <w:t xml:space="preserve">EURPLN</w:t>
        </w:r>
      </w:hyperlink>
      <w:r>
        <w:rPr>
          <w:rFonts w:ascii="calibri" w:hAnsi="calibri" w:eastAsia="calibri" w:cs="calibri"/>
          <w:sz w:val="24"/>
          <w:szCs w:val="24"/>
        </w:rPr>
        <w:t xml:space="preserve"> należy bacznie przyjrzeć się na jakich poziomach są zawarte ceny wygaśnięcia opcji i jakie jest odchylenie tych cen od ceny rynkowej. Ponieważ pary walutowe powiązane z polskim złotym są traktowane przez inwestorów jako tzw. egzotyki, dlatego też lokalne informacje makro nie mają, aż tak dużego znaczenia dla kursu jak to ma miejsce przy głównych parach walutowych. Określając to odchylenie, biorąc pod uwagę średnią zmienność ceny w czasie oraz implikowaną zmienność cen opcji walutowych dla tej pary można określić czy cena rynkowa ma szanse zbliżyć się do ceny wygaśnięcia opcji w dniu zakończenia kontraktu. Dla omawianej pary </w:t>
      </w:r>
      <w:hyperlink r:id="rId8" w:history="1">
        <w:r>
          <w:rPr>
            <w:rFonts w:ascii="calibri" w:hAnsi="calibri" w:eastAsia="calibri" w:cs="calibri"/>
            <w:color w:val="0000FF"/>
            <w:sz w:val="24"/>
            <w:szCs w:val="24"/>
            <w:u w:val="single"/>
          </w:rPr>
          <w:t xml:space="preserve">EURPLN</w:t>
        </w:r>
      </w:hyperlink>
      <w:r>
        <w:rPr>
          <w:rFonts w:ascii="calibri" w:hAnsi="calibri" w:eastAsia="calibri" w:cs="calibri"/>
          <w:sz w:val="24"/>
          <w:szCs w:val="24"/>
        </w:rPr>
        <w:t xml:space="preserve"> ta różnica w cenach nie może być duża, ponieważ zmienność cen tej pary historycznie nie jest duża. Trochę inaczej wygląda to na parach </w:t>
      </w:r>
      <w:hyperlink r:id="rId9" w:history="1">
        <w:r>
          <w:rPr>
            <w:rFonts w:ascii="calibri" w:hAnsi="calibri" w:eastAsia="calibri" w:cs="calibri"/>
            <w:color w:val="0000FF"/>
            <w:sz w:val="24"/>
            <w:szCs w:val="24"/>
            <w:u w:val="single"/>
          </w:rPr>
          <w:t xml:space="preserve">USDPLN</w:t>
        </w:r>
      </w:hyperlink>
      <w:r>
        <w:rPr>
          <w:rFonts w:ascii="calibri" w:hAnsi="calibri" w:eastAsia="calibri" w:cs="calibri"/>
          <w:sz w:val="24"/>
          <w:szCs w:val="24"/>
        </w:rPr>
        <w:t xml:space="preserve"> i </w:t>
      </w:r>
      <w:hyperlink r:id="rId10" w:history="1">
        <w:r>
          <w:rPr>
            <w:rFonts w:ascii="calibri" w:hAnsi="calibri" w:eastAsia="calibri" w:cs="calibri"/>
            <w:color w:val="0000FF"/>
            <w:sz w:val="24"/>
            <w:szCs w:val="24"/>
            <w:u w:val="single"/>
          </w:rPr>
          <w:t xml:space="preserve">GBPLN</w:t>
        </w:r>
      </w:hyperlink>
      <w:r>
        <w:rPr>
          <w:rFonts w:ascii="calibri" w:hAnsi="calibri" w:eastAsia="calibri" w:cs="calibri"/>
          <w:sz w:val="24"/>
          <w:szCs w:val="24"/>
        </w:rPr>
        <w:t xml:space="preserve">, gdzie nawet kilkugroszowa różnica pomiędzy ceną rynku a ceną wygaśnięcia opcji w krótkim okresie czasu jest do osiągnięcia, nawet przy niewielkiej płynności rynku. Dla par walutowych opartych na polskim złotym właśnie ta płynność rynku ma duże znaczenie dla możliwości osiągnięcia targetu stawianego przez jedną czy drugą stronę zaangażowaną w kontrakt opcyjny.</w:t>
      </w:r>
    </w:p>
    <w:p>
      <w:pPr>
        <w:spacing w:before="0" w:after="300"/>
      </w:pPr>
    </w:p>
    <w:p>
      <w:pPr>
        <w:spacing w:before="0" w:after="300"/>
      </w:pPr>
      <w:r>
        <w:rPr>
          <w:rFonts w:ascii="calibri" w:hAnsi="calibri" w:eastAsia="calibri" w:cs="calibri"/>
          <w:sz w:val="24"/>
          <w:szCs w:val="24"/>
        </w:rPr>
        <w:t xml:space="preserve">„W swojej strategii inwestycyjnej oceniając szanse na realizację ceny wygaśnięcia opcji w czasie „one day” na parach powiązanych z polskim złotym, prócz wyżej opisanej analizy rynku, analizujemy pod tym kontem także główne pary walutowe, które wyznaczają poprzez korelacje główne trendy także na polskim złotym” wyjaśnia analityk </w:t>
      </w:r>
      <w:hyperlink r:id="rId7" w:history="1">
        <w:r>
          <w:rPr>
            <w:rFonts w:ascii="calibri" w:hAnsi="calibri" w:eastAsia="calibri" w:cs="calibri"/>
            <w:color w:val="0000FF"/>
            <w:sz w:val="24"/>
            <w:szCs w:val="24"/>
            <w:u w:val="single"/>
          </w:rPr>
          <w:t xml:space="preserve">ergokantor.pl</w:t>
        </w:r>
      </w:hyperlink>
      <w:r>
        <w:rPr>
          <w:rFonts w:ascii="calibri" w:hAnsi="calibri" w:eastAsia="calibri" w:cs="calibri"/>
          <w:sz w:val="24"/>
          <w:szCs w:val="24"/>
        </w:rPr>
        <w:t xml:space="preserve">.</w:t>
      </w:r>
    </w:p>
    <w:p>
      <w:pPr>
        <w:spacing w:before="0" w:after="300"/>
      </w:pPr>
    </w:p>
    <w:p>
      <w:pPr>
        <w:spacing w:before="0" w:after="300"/>
      </w:pPr>
      <w:r>
        <w:rPr>
          <w:rFonts w:ascii="calibri" w:hAnsi="calibri" w:eastAsia="calibri" w:cs="calibri"/>
          <w:sz w:val="24"/>
          <w:szCs w:val="24"/>
          <w:b/>
        </w:rPr>
        <w:t xml:space="preserve">___________________________________________________________________________________</w:t>
      </w:r>
    </w:p>
    <w:p>
      <w:pPr>
        <w:spacing w:before="0" w:after="300"/>
      </w:pPr>
      <w:r>
        <w:rPr>
          <w:rFonts w:ascii="calibri" w:hAnsi="calibri" w:eastAsia="calibri" w:cs="calibri"/>
          <w:sz w:val="24"/>
          <w:szCs w:val="24"/>
        </w:rPr>
        <w:t xml:space="preserve"> </w:t>
      </w:r>
      <w:r>
        <w:rPr>
          <w:rFonts w:ascii="calibri" w:hAnsi="calibri" w:eastAsia="calibri" w:cs="calibri"/>
          <w:sz w:val="24"/>
          <w:szCs w:val="24"/>
          <w:i/>
          <w:iCs/>
        </w:rPr>
        <w:t xml:space="preserve">Powyższy komentarz walutowy nie jest rekomendacją w rozumieniu Rozporządzenia Ministra Finansów z 19 października 2005 roku. Komentarz został sporządzony w celach informacyjnych i nie powinien stanowić podstawy do podejmowania decyzji inwestycyjnych. Goldem Sp. z o.o. - właściciel marki </w:t>
      </w:r>
      <w:hyperlink r:id="rId7" w:history="1">
        <w:r>
          <w:rPr>
            <w:rFonts w:ascii="calibri" w:hAnsi="calibri" w:eastAsia="calibri" w:cs="calibri"/>
            <w:color w:val="0000FF"/>
            <w:sz w:val="24"/>
            <w:szCs w:val="24"/>
            <w:i/>
            <w:iCs/>
            <w:u w:val="single"/>
          </w:rPr>
          <w:t xml:space="preserve">ergokantor.pl </w:t>
        </w:r>
      </w:hyperlink>
      <w:r>
        <w:rPr>
          <w:rFonts w:ascii="calibri" w:hAnsi="calibri" w:eastAsia="calibri" w:cs="calibri"/>
          <w:sz w:val="24"/>
          <w:szCs w:val="24"/>
          <w:i/>
          <w:iCs/>
        </w:rPr>
        <w:t xml:space="preserve">i autor komentarza nie ponoszą odpowiedzialności za decyzje inwestycyjne podjęte na podstawie informacji zawartych w niniejszym komentarzu.</w:t>
      </w:r>
    </w:p>
    <w:p>
      <w:pPr>
        <w:spacing w:before="0" w:after="300"/>
      </w:pPr>
      <w:r>
        <w:rPr>
          <w:rFonts w:ascii="calibri" w:hAnsi="calibri" w:eastAsia="calibri" w:cs="calibri"/>
          <w:sz w:val="24"/>
          <w:szCs w:val="24"/>
          <w:b/>
        </w:rPr>
        <w:t xml:space="preserve">___________________________________________________________________________________</w:t>
      </w:r>
    </w:p>
    <w:p>
      <w:pPr>
        <w:spacing w:before="0" w:after="300"/>
      </w:pPr>
      <w:r>
        <w:rPr>
          <w:rFonts w:ascii="calibri" w:hAnsi="calibri" w:eastAsia="calibri" w:cs="calibri"/>
          <w:sz w:val="24"/>
          <w:szCs w:val="24"/>
        </w:rPr>
        <w:t xml:space="preserve">O marce ergokantor.pl:</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internetowy serwis wymiany walut dla osób indywidualnych oraz przedsiębiorstw. Kursy walut na</w:t>
      </w:r>
      <w:r>
        <w:rPr>
          <w:rFonts w:ascii="calibri" w:hAnsi="calibri" w:eastAsia="calibri" w:cs="calibri"/>
          <w:sz w:val="24"/>
          <w:szCs w:val="24"/>
          <w:b/>
        </w:rPr>
        <w:t xml:space="preserve"> ergokantor.pl </w:t>
      </w:r>
      <w:r>
        <w:rPr>
          <w:rFonts w:ascii="calibri" w:hAnsi="calibri" w:eastAsia="calibri" w:cs="calibri"/>
          <w:sz w:val="24"/>
          <w:szCs w:val="24"/>
        </w:rPr>
        <w:t xml:space="preserve">są aktualizowane co 15 sekund, opierają się na rzeczywistych notowaniach z rynku Forex, co gwarantuje korzystne kursy walut i rzeczywiste oszczędności i zyski dla Klienta. Spółka Goldem Sp. z o.o. – właściciel </w:t>
      </w:r>
      <w:r>
        <w:rPr>
          <w:rFonts w:ascii="calibri" w:hAnsi="calibri" w:eastAsia="calibri" w:cs="calibri"/>
          <w:sz w:val="24"/>
          <w:szCs w:val="24"/>
          <w:b/>
        </w:rPr>
        <w:t xml:space="preserve">ergokantor.pl</w:t>
      </w:r>
      <w:r>
        <w:rPr>
          <w:rFonts w:ascii="calibri" w:hAnsi="calibri" w:eastAsia="calibri" w:cs="calibri"/>
          <w:sz w:val="24"/>
          <w:szCs w:val="24"/>
        </w:rPr>
        <w:t xml:space="preserve">, dysponuje kapitałem w wysokości 1 mln złotych, co jest jednym z najwyższych w branży niebankowych podmiotów wymiany walut online.</w:t>
      </w:r>
    </w:p>
    <w:p>
      <w:pPr>
        <w:spacing w:before="0" w:after="300"/>
      </w:pPr>
      <w:r>
        <w:rPr>
          <w:rFonts w:ascii="calibri" w:hAnsi="calibri" w:eastAsia="calibri" w:cs="calibri"/>
          <w:sz w:val="24"/>
          <w:szCs w:val="24"/>
          <w:b/>
        </w:rPr>
        <w:t xml:space="preserve">9 korzyści dla, których warto wymieniać walutę w ergokantor.pl:</w:t>
      </w:r>
    </w:p>
    <w:p>
      <w:pPr>
        <w:spacing w:before="0" w:after="300"/>
      </w:pPr>
      <w:r>
        <w:rPr>
          <w:rFonts w:ascii="calibri" w:hAnsi="calibri" w:eastAsia="calibri" w:cs="calibri"/>
          <w:sz w:val="24"/>
          <w:szCs w:val="24"/>
        </w:rPr>
        <w:t xml:space="preserve">1. Korzystne kursy walut</w:t>
      </w:r>
    </w:p>
    <w:p>
      <w:r>
        <w:rPr>
          <w:rFonts w:ascii="calibri" w:hAnsi="calibri" w:eastAsia="calibri" w:cs="calibri"/>
          <w:sz w:val="24"/>
          <w:szCs w:val="24"/>
        </w:rPr>
        <w:t xml:space="preserve"> 2. Brak prowizji za wymianę walut</w:t>
      </w:r>
    </w:p>
    <w:p>
      <w:r>
        <w:rPr>
          <w:rFonts w:ascii="calibri" w:hAnsi="calibri" w:eastAsia="calibri" w:cs="calibri"/>
          <w:sz w:val="24"/>
          <w:szCs w:val="24"/>
        </w:rPr>
        <w:t xml:space="preserve"> 3. Szybkość transakcji</w:t>
      </w:r>
    </w:p>
    <w:p>
      <w:r>
        <w:rPr>
          <w:rFonts w:ascii="calibri" w:hAnsi="calibri" w:eastAsia="calibri" w:cs="calibri"/>
          <w:sz w:val="24"/>
          <w:szCs w:val="24"/>
        </w:rPr>
        <w:t xml:space="preserve"> 4. Obsługa wszystkich banków w Polsce </w:t>
      </w:r>
    </w:p>
    <w:p>
      <w:r>
        <w:rPr>
          <w:rFonts w:ascii="calibri" w:hAnsi="calibri" w:eastAsia="calibri" w:cs="calibri"/>
          <w:sz w:val="24"/>
          <w:szCs w:val="24"/>
        </w:rPr>
        <w:t xml:space="preserve"> 5. Obsługa 12 walut </w:t>
      </w:r>
    </w:p>
    <w:p>
      <w:r>
        <w:rPr>
          <w:rFonts w:ascii="calibri" w:hAnsi="calibri" w:eastAsia="calibri" w:cs="calibri"/>
          <w:sz w:val="24"/>
          <w:szCs w:val="24"/>
        </w:rPr>
        <w:t xml:space="preserve"> 6. Możliwość przelewu środków z transakcji wymiany bezpośrednio na konto osoby trzeciej</w:t>
      </w:r>
    </w:p>
    <w:p>
      <w:r>
        <w:rPr>
          <w:rFonts w:ascii="calibri" w:hAnsi="calibri" w:eastAsia="calibri" w:cs="calibri"/>
          <w:sz w:val="24"/>
          <w:szCs w:val="24"/>
        </w:rPr>
        <w:t xml:space="preserve"> 7. Bezpieczeństwo wymiany gwarantowane</w:t>
      </w:r>
    </w:p>
    <w:p>
      <w:r>
        <w:rPr>
          <w:rFonts w:ascii="calibri" w:hAnsi="calibri" w:eastAsia="calibri" w:cs="calibri"/>
          <w:sz w:val="24"/>
          <w:szCs w:val="24"/>
        </w:rPr>
        <w:t xml:space="preserve"> 8. Codzienne komentarze walutowe</w:t>
      </w:r>
    </w:p>
    <w:p>
      <w:r>
        <w:rPr>
          <w:rFonts w:ascii="calibri" w:hAnsi="calibri" w:eastAsia="calibri" w:cs="calibri"/>
          <w:sz w:val="24"/>
          <w:szCs w:val="24"/>
        </w:rPr>
        <w:t xml:space="preserve"> 9. Poczucie humoru…sprawdź: </w:t>
      </w:r>
      <w:hyperlink r:id="rId11" w:history="1">
        <w:r>
          <w:rPr>
            <w:rFonts w:ascii="calibri" w:hAnsi="calibri" w:eastAsia="calibri" w:cs="calibri"/>
            <w:color w:val="0000FF"/>
            <w:sz w:val="24"/>
            <w:szCs w:val="24"/>
            <w:u w:val="single"/>
          </w:rPr>
          <w:t xml:space="preserve">humor z ergokantor.pl</w:t>
        </w:r>
      </w:hyperlink>
    </w:p>
    <w:p>
      <w:pPr>
        <w:spacing w:before="0" w:after="300"/>
      </w:pPr>
      <w:hyperlink r:id="rId7" w:history="1">
        <w:r>
          <w:rPr>
            <w:rFonts w:ascii="calibri" w:hAnsi="calibri" w:eastAsia="calibri" w:cs="calibri"/>
            <w:color w:val="0000FF"/>
            <w:sz w:val="24"/>
            <w:szCs w:val="24"/>
            <w:u w:val="single"/>
          </w:rPr>
          <w:t xml:space="preserve">Kantor internetowy ergokantor.pl </w:t>
        </w:r>
      </w:hyperlink>
      <w:r>
        <w:rPr>
          <w:rFonts w:ascii="calibri" w:hAnsi="calibri" w:eastAsia="calibri" w:cs="calibri"/>
          <w:sz w:val="24"/>
          <w:szCs w:val="24"/>
        </w:rPr>
        <w:t xml:space="preserve">działa 24h/dobę 7 dni w tygodniu, księgowanie transakcji w godzinach pracy kantoru, tj. w dni robocze od godziny 8.00 do 17.00.</w:t>
      </w:r>
    </w:p>
    <w:p>
      <w:pPr>
        <w:spacing w:before="0" w:after="300"/>
      </w:pPr>
      <w:r>
        <w:rPr>
          <w:rFonts w:ascii="calibri" w:hAnsi="calibri" w:eastAsia="calibri" w:cs="calibri"/>
          <w:sz w:val="24"/>
          <w:szCs w:val="24"/>
        </w:rPr>
        <w:t xml:space="preserve">Dbamy o zaufanie naszych Klientów i </w:t>
      </w:r>
      <w:r>
        <w:rPr>
          <w:rFonts w:ascii="calibri" w:hAnsi="calibri" w:eastAsia="calibri" w:cs="calibri"/>
          <w:sz w:val="24"/>
          <w:szCs w:val="24"/>
          <w:b/>
        </w:rPr>
        <w:t xml:space="preserve">bezpieczeństwo</w:t>
      </w:r>
      <w:r>
        <w:rPr>
          <w:rFonts w:ascii="calibri" w:hAnsi="calibri" w:eastAsia="calibri" w:cs="calibri"/>
          <w:sz w:val="24"/>
          <w:szCs w:val="24"/>
        </w:rPr>
        <w:t xml:space="preserve"> transakcji – jesteśmy Biurem Usług Płatniczych nadzorowanym przez KNF i GIIF.</w:t>
      </w:r>
    </w:p>
    <w:p>
      <w:pPr>
        <w:spacing w:before="0" w:after="300"/>
      </w:pPr>
      <w:r>
        <w:rPr>
          <w:rFonts w:ascii="calibri" w:hAnsi="calibri" w:eastAsia="calibri" w:cs="calibri"/>
          <w:sz w:val="24"/>
          <w:szCs w:val="24"/>
        </w:rPr>
        <w:t xml:space="preserve">Kantor prowadzi czat on-line, a platforma wymiany jest wyjątkowo prosta w obsłudze.</w:t>
      </w:r>
    </w:p>
    <w:p>
      <w:pPr>
        <w:spacing w:before="0" w:after="300"/>
      </w:pPr>
      <w:r>
        <w:rPr>
          <w:rFonts w:ascii="calibri" w:hAnsi="calibri" w:eastAsia="calibri" w:cs="calibri"/>
          <w:sz w:val="24"/>
          <w:szCs w:val="24"/>
          <w:b/>
        </w:rPr>
        <w:t xml:space="preserve">ergokantor.pl</w:t>
      </w:r>
      <w:r>
        <w:rPr>
          <w:rFonts w:ascii="calibri" w:hAnsi="calibri" w:eastAsia="calibri" w:cs="calibri"/>
          <w:sz w:val="24"/>
          <w:szCs w:val="24"/>
        </w:rPr>
        <w:t xml:space="preserve"> to 100% Klientów zadowolonych ze współpracy z nami, co potwierdzają wyniki sondażu niezależnej firmy zewnętrznej Opineo.pl http://www.opineo.pl/opinie/goldem-sp-z-o-o</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ergokantor.pl" TargetMode="External"/><Relationship Id="rId8" Type="http://schemas.openxmlformats.org/officeDocument/2006/relationships/hyperlink" Target="http://ergokantor.pl/kurs-eur-pln" TargetMode="External"/><Relationship Id="rId9" Type="http://schemas.openxmlformats.org/officeDocument/2006/relationships/hyperlink" Target="http://ergokantor.pl/kurs-usd-pln" TargetMode="External"/><Relationship Id="rId10" Type="http://schemas.openxmlformats.org/officeDocument/2006/relationships/hyperlink" Target="http://ergokantor.pl/kurs-gbp-pln" TargetMode="External"/><Relationship Id="rId11" Type="http://schemas.openxmlformats.org/officeDocument/2006/relationships/hyperlink" Target="http://ergokantor.pl/humor-z-ergokantor_pl.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2026-10-07T11:51:58+02:00</dcterms:created>
  <dcterms:modified xsi:type="dcterms:W3CDTF">2026-10-07T11:51:58+02:00</dcterms:modified>
</cp:coreProperties>
</file>

<file path=docProps/custom.xml><?xml version="1.0" encoding="utf-8"?>
<Properties xmlns="http://schemas.openxmlformats.org/officeDocument/2006/custom-properties" xmlns:vt="http://schemas.openxmlformats.org/officeDocument/2006/docPropsVTypes"/>
</file>