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Komentarz walutowy dla par USDPLN, GBPPLN i EURPLN - 2.03.2017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Dolar zgodnie z naszymi założeniami dalej znajduje się w konsolidacji pomiędzy 4,10 a 4.05. Nasz bazowy scenariusz został wczoraj zrealizowany.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Dolar zgodnie z naszymi założeniami dalej znajduje się w konsolidacji pomiędzy 4,10 a 4.05. Nasz bazowy scenariusz został wczoraj zrealizowany. Na fali osłabienia się dolara na wszystkich rynkach, zaksięgował formację geometryczną 1 do 1 na poziomie 4,05, a następnie się odbił w kierunku środka kanału. O poranku Klienci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za dolara płacili 4,07. Obecnie zalecamy ostrożność, gdyż kurs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zależny od sentymentu rynku i kierunku głównej pary walutowej. Naszym scenariuszem bazowym jest ruch w dół i ponowny retest poziomu 4,05, a po jego przełamaniu ruch w kierunku 4 złotych. Następnie początkiem przyszłego tygodnia powinno dojść do impulsu wzrostowego do poziomu co najmniej 4,10. Dalszy kierunek zostanie wyznaczony po decyzji o podniesieniu stóp procentowych w Stanach Zjednoczonych. W przypadku alternatywnym należy założyć ruch od razu w górę do poziomu 4,10 i konsolidację na tym poziomie.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GBPPLN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funcie wczoraj doszło do silnego impulsu spadkowego. Zakładaliśmy wyłamanie z kanału wzrostowego i spadek ceny do poziomu 5,01, a finalnie nawet do 4,97 w krótkim terminie. Wczorajszy impuls spadkowy ściągnął cenę o ponad 7 groszy do poziomu 4,98, realizując nasz scenariusz bazowy. Obecnie naszym zdaniem powinno dojść do przynajmniej lekkiej korekty do poziomu 5,03, gdzie nastąpi decyzja inwestorów, w jakim kierunku pójdzie cena. Ponieważ ogólny trend rynkowy na funcie wskazuje deprecjacja brytyjskiej waluty, dlatego oczekujemy, że w przyszłym tygodniu może dojść do kolejnego silnego osłabienia funta, co pozwalało myśleć o przetestowaniu lokalnych dołków na poziomie 4,95. W przypadku wzrostów oporem pozostaje dolne ograniczenie kanału wzrostowego.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Scenariusz bazowy o wyrysowaniu prawego ramienia formacji RGR został zrealizowany. Wczoraj EUR w internetowym kantorze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było kupić po 4,27 zł.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  <w:r>
        <w:rPr>
          <w:rFonts w:ascii="calibri" w:hAnsi="calibri" w:eastAsia="calibri" w:cs="calibri"/>
          <w:sz w:val="24"/>
          <w:szCs w:val="24"/>
        </w:rPr>
        <w:t xml:space="preserve"> kolejny raz zareagował na linię trendową wyrysowaną po dołkach mierzonych od listopada 2015 roku. Naszym zdaniem, po krótkiej konsolidacji powinno dojść do przełamania linii trendowej i kierunku w stronę 4,25 czy nawet 4,22, gdzie wypada zakończenie bardzo dużej formacji geometrycznej 1 do 1 z interwału tygodniowego. Wtedy zrealizowałaby się formacja RGR także na interwale tygodniowym, o czym wielokrotnie już pisaliśmy od grudnia. W przypadku korekty w górę oporem jest lokalny szczyt na poziomie 4,32.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2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opracowanie własne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Powyższy komentarz walutowy nie jest rekomendacją w rozumieniu Rozporządzenia Ministra Finansów z 19 października 2005 roku. Komentarz został sporządzony w celach informacyjnych i nie powinien stanowić podstawy do podejmowania decyzji inwestycyjnych. Goldem Sp. z o.o., właściciel marki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___________________________________________________________________________________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marce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</w:t>
        </w:r>
      </w:hyperlink>
      <w:r>
        <w:rPr>
          <w:rFonts w:ascii="calibri" w:hAnsi="calibri" w:eastAsia="calibri" w:cs="calibri"/>
          <w:sz w:val="24"/>
          <w:szCs w:val="24"/>
        </w:rPr>
        <w:t xml:space="preserve">l: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 to internetowy serwis wymiany walut dla osób indywidualnych oraz przedsiębiorstw. Kursy walut na</w:t>
      </w:r>
      <w:r>
        <w:rPr>
          <w:rFonts w:ascii="calibri" w:hAnsi="calibri" w:eastAsia="calibri" w:cs="calibri"/>
          <w:sz w:val="24"/>
          <w:szCs w:val="24"/>
          <w:b/>
        </w:rPr>
        <w:t xml:space="preserve"> ergokantor.pl </w:t>
      </w:r>
      <w:r>
        <w:rPr>
          <w:rFonts w:ascii="calibri" w:hAnsi="calibri" w:eastAsia="calibri" w:cs="calibri"/>
          <w:sz w:val="24"/>
          <w:szCs w:val="24"/>
        </w:rPr>
        <w:t xml:space="preserve">są aktualizowane co 15 sekund, opierają się na rzeczywistych notowaniach z rynku Forex, co gwarantuje korzystne kursy walut i rzeczywiste oszczędności i zyski dla Klienta. Spółka Goldem Sp. z o.o. – właściciel </w:t>
      </w: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, dysponuje kapitałem w wysokości 1 mln złotych, co jest jednym z najwyższych w branży niebankowych podmiotów wymiany walut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9 korzyści dla, których warto wymieniać walutę w ergokantor.pl: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Korzystne kursy walut</w:t>
      </w:r>
    </w:p>
    <w:p>
      <w:r>
        <w:rPr>
          <w:rFonts w:ascii="calibri" w:hAnsi="calibri" w:eastAsia="calibri" w:cs="calibri"/>
          <w:sz w:val="24"/>
          <w:szCs w:val="24"/>
        </w:rPr>
        <w:t xml:space="preserve"> 2. Brak prowizji za wymianę walut</w:t>
      </w:r>
    </w:p>
    <w:p>
      <w:r>
        <w:rPr>
          <w:rFonts w:ascii="calibri" w:hAnsi="calibri" w:eastAsia="calibri" w:cs="calibri"/>
          <w:sz w:val="24"/>
          <w:szCs w:val="24"/>
        </w:rPr>
        <w:t xml:space="preserve"> 3. Szybkość transakcji</w:t>
      </w:r>
    </w:p>
    <w:p>
      <w:r>
        <w:rPr>
          <w:rFonts w:ascii="calibri" w:hAnsi="calibri" w:eastAsia="calibri" w:cs="calibri"/>
          <w:sz w:val="24"/>
          <w:szCs w:val="24"/>
        </w:rPr>
        <w:t xml:space="preserve"> 4. Obsługa wszystkich banków w Polsce </w:t>
      </w:r>
    </w:p>
    <w:p>
      <w:r>
        <w:rPr>
          <w:rFonts w:ascii="calibri" w:hAnsi="calibri" w:eastAsia="calibri" w:cs="calibri"/>
          <w:sz w:val="24"/>
          <w:szCs w:val="24"/>
        </w:rPr>
        <w:t xml:space="preserve"> 5. Obsługa 12 walut </w:t>
      </w:r>
    </w:p>
    <w:p>
      <w:r>
        <w:rPr>
          <w:rFonts w:ascii="calibri" w:hAnsi="calibri" w:eastAsia="calibri" w:cs="calibri"/>
          <w:sz w:val="24"/>
          <w:szCs w:val="24"/>
        </w:rPr>
        <w:t xml:space="preserve"> 6. Możliwość przelewu środków z transakcji wymiany bezpośrednio na konto osoby trzeciej</w:t>
      </w:r>
    </w:p>
    <w:p>
      <w:r>
        <w:rPr>
          <w:rFonts w:ascii="calibri" w:hAnsi="calibri" w:eastAsia="calibri" w:cs="calibri"/>
          <w:sz w:val="24"/>
          <w:szCs w:val="24"/>
        </w:rPr>
        <w:t xml:space="preserve"> 7. Bezpieczeństwo wymiany gwarantowane</w:t>
      </w:r>
    </w:p>
    <w:p>
      <w:r>
        <w:rPr>
          <w:rFonts w:ascii="calibri" w:hAnsi="calibri" w:eastAsia="calibri" w:cs="calibri"/>
          <w:sz w:val="24"/>
          <w:szCs w:val="24"/>
        </w:rPr>
        <w:t xml:space="preserve"> 8. Codzienne komentarze walutowe</w:t>
      </w:r>
    </w:p>
    <w:p>
      <w:r>
        <w:rPr>
          <w:rFonts w:ascii="calibri" w:hAnsi="calibri" w:eastAsia="calibri" w:cs="calibri"/>
          <w:sz w:val="24"/>
          <w:szCs w:val="24"/>
        </w:rPr>
        <w:t xml:space="preserve"> 9. Poczucie humoru…sprawdź: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humor z ergokantor.pl</w:t>
        </w:r>
      </w:hyperlink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Kantor internetowy ergokantor.pl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działa 24h/dobę 7 dni w tygodniu, księgowanie transakcji w godzinach pracy kantoru, tj. w dni robocze od godziny 8.00 do 17.00.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Dbamy o zaufanie naszych Klientów i </w:t>
      </w:r>
      <w:r>
        <w:rPr>
          <w:rFonts w:ascii="calibri" w:hAnsi="calibri" w:eastAsia="calibri" w:cs="calibri"/>
          <w:sz w:val="24"/>
          <w:szCs w:val="24"/>
          <w:b/>
        </w:rPr>
        <w:t xml:space="preserve">bezpieczeństwo</w:t>
      </w:r>
      <w:r>
        <w:rPr>
          <w:rFonts w:ascii="calibri" w:hAnsi="calibri" w:eastAsia="calibri" w:cs="calibri"/>
          <w:sz w:val="24"/>
          <w:szCs w:val="24"/>
        </w:rPr>
        <w:t xml:space="preserve"> transakcji – jesteśmy Biurem Usług Płatniczych nadzorowanym przez KNF i GIIF.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Kantor prowadzi czat on-line, a platforma wymiany jest wyjątkowo prosta w obsłudze.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 to 100% Klientów zadowolonych ze współpracy z nami, co potwierdzają wyniki sondażu niezależnej firmy zewnętrznej Opineo.pl http://www.opineo.pl/opinie/goldem-sp-z-o-o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rgokantor.biuroprasowe.pl/kurs-usd-pln" TargetMode="External"/><Relationship Id="rId8" Type="http://schemas.openxmlformats.org/officeDocument/2006/relationships/hyperlink" Target="http://ergokantor.biuroprasowe.pl/" TargetMode="External"/><Relationship Id="rId9" Type="http://schemas.openxmlformats.org/officeDocument/2006/relationships/image" Target="media/section_image1.png"/><Relationship Id="rId10" Type="http://schemas.openxmlformats.org/officeDocument/2006/relationships/hyperlink" Target="http://ergokantor.biuroprasowe.pl/kurs-gbp-pln" TargetMode="External"/><Relationship Id="rId11" Type="http://schemas.openxmlformats.org/officeDocument/2006/relationships/image" Target="media/section_image2.png"/><Relationship Id="rId12" Type="http://schemas.openxmlformats.org/officeDocument/2006/relationships/hyperlink" Target="http://ergokantor.biuroprasowe.pl/kurs-eur-pln" TargetMode="External"/><Relationship Id="rId13" Type="http://schemas.openxmlformats.org/officeDocument/2006/relationships/image" Target="media/section_image3.png"/><Relationship Id="rId14" Type="http://schemas.openxmlformats.org/officeDocument/2006/relationships/hyperlink" Target="http://ergokantor.biuroprasowe.pl/word/?hash=65e11abae29c88beff782e46ca994565&amp;id=39290&amp;typ=epr" TargetMode="External"/><Relationship Id="rId15" Type="http://schemas.openxmlformats.org/officeDocument/2006/relationships/hyperlink" Target="http://ergokantor.pl/" TargetMode="External"/><Relationship Id="rId16" Type="http://schemas.openxmlformats.org/officeDocument/2006/relationships/hyperlink" Target="http://ergokantor.pl/humor-z-ergokantor_pl.html" TargetMode="External"/><Relationship Id="rId17" Type="http://schemas.openxmlformats.org/officeDocument/2006/relationships/hyperlink" Target="http://ergokanto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2026-07-28T21:07:32+02:00</dcterms:created>
  <dcterms:modified xsi:type="dcterms:W3CDTF">2026-07-28T21:07:32+02:00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