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jest szansa na korektę złotego?</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24.07.2017, 9:00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Wydarzenia polityczne w Polsce zostały zauważone przez inwestorów, a niepewność czy też niewiedza, co do treści merytorycznej uchwał powoduje, iż ryzyko związane ze złotym jest większe. Inwestorzy będą bardziej zważać uwagę nie tylko na dobre wyniki gospodarcze, lecz także na sentymenty polityczne, czy też reakcję świata finansów na poszczególne ustawy w Polsce. </w:t>
      </w:r>
      <w:hyperlink r:id="rId7" w:history="1">
        <w:r>
          <w:rPr>
            <w:rFonts w:ascii="calibri" w:hAnsi="calibri" w:eastAsia="calibri" w:cs="calibri"/>
            <w:color w:val="0000FF"/>
            <w:sz w:val="24"/>
            <w:szCs w:val="24"/>
            <w:u w:val="single"/>
          </w:rPr>
          <w:t xml:space="preserve">Złoty</w:t>
        </w:r>
      </w:hyperlink>
      <w:r>
        <w:rPr>
          <w:rFonts w:ascii="calibri" w:hAnsi="calibri" w:eastAsia="calibri" w:cs="calibri"/>
          <w:sz w:val="24"/>
          <w:szCs w:val="24"/>
        </w:rPr>
        <w:t xml:space="preserve"> jest relatywnie mocny, pomimo lekkiej korekty końcem tygodnia.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8"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W bardzo ważnym punkcie jesteśmy na </w:t>
      </w:r>
      <w:hyperlink r:id="rId8" w:history="1">
        <w:r>
          <w:rPr>
            <w:rFonts w:ascii="calibri" w:hAnsi="calibri" w:eastAsia="calibri" w:cs="calibri"/>
            <w:color w:val="0000FF"/>
            <w:sz w:val="24"/>
            <w:szCs w:val="24"/>
            <w:u w:val="single"/>
          </w:rPr>
          <w:t xml:space="preserve">EURPLN</w:t>
        </w:r>
      </w:hyperlink>
      <w:r>
        <w:rPr>
          <w:rFonts w:ascii="calibri" w:hAnsi="calibri" w:eastAsia="calibri" w:cs="calibri"/>
          <w:sz w:val="24"/>
          <w:szCs w:val="24"/>
        </w:rPr>
        <w:t xml:space="preserve">. W piątek cena przetestowała nawet 4,27, po czym popyt wyhamował. Strefa pomiędzy 4,26-4,28 jest w tym momencie kluczowa, gdyż wielokrotnie na przestrzeni ostatniego roku była testowana. Najpierw była istotnym wsparcie, a następnie oporem, zgodnie z zasadą zmiany biegunów. Po jej ewentualnym wybiciu górą droga do 4,36 będzie otwarta, lecz nie powinno się to zdarzyć tak od razu, z marszu. W przypadku korekty wsparciem pozostają poziomy 4,25, a następnie 4,23.</w:t>
      </w:r>
    </w:p>
    <w:p>
      <w:pPr>
        <w:spacing w:before="0" w:after="300"/>
      </w:pPr>
    </w:p>
    <w:p>
      <w:pPr>
        <w:jc w:val="center"/>
      </w:pPr>
      <w:r>
        <w:pict>
          <v:shape type="#_x0000_t75" style="width:800px; height:458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hyperlink r:id="rId10"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Pomimo rekordowo słabego, w ostatnich latach dolara, w piątek po reteście 3,61 doszło do reakcji byków. Mocny ruch w górę, przy słabym sentymencie do dolara na szerokim rynku, pozwala myśleć, iż inwestorzy wzięli jednak pod uwagę to, co się dzieje na polskich ulicach. Jesteśmy już w połowie drogi do 3,70, gdzie mamy silny opór. </w:t>
      </w:r>
      <w:hyperlink r:id="rId10" w:history="1">
        <w:r>
          <w:rPr>
            <w:rFonts w:ascii="calibri" w:hAnsi="calibri" w:eastAsia="calibri" w:cs="calibri"/>
            <w:color w:val="0000FF"/>
            <w:sz w:val="24"/>
            <w:szCs w:val="24"/>
            <w:u w:val="single"/>
          </w:rPr>
          <w:t xml:space="preserve">Cena</w:t>
        </w:r>
      </w:hyperlink>
      <w:r>
        <w:rPr>
          <w:rFonts w:ascii="calibri" w:hAnsi="calibri" w:eastAsia="calibri" w:cs="calibri"/>
          <w:sz w:val="24"/>
          <w:szCs w:val="24"/>
        </w:rPr>
        <w:t xml:space="preserve"> nie miała siły przetestować dolnego ograniczenia kanału trendowego, co jest kolejnym sygnałem na to, że siła sprzedających słabnie. Teoretycznie jest jednak szansa na kolejny test 3,63, by wyrysować coś w rodzaju formacji odwróconej głowy z ramionami. W krótkim terminie można jednak myśleć o zakupie dolara.</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2"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 TargetMode="External"/><Relationship Id="rId8" Type="http://schemas.openxmlformats.org/officeDocument/2006/relationships/hyperlink" Target="https://ergokantor.pl/kurs-eur-pln" TargetMode="External"/><Relationship Id="rId9" Type="http://schemas.openxmlformats.org/officeDocument/2006/relationships/image" Target="media/section_image1.png"/><Relationship Id="rId10" Type="http://schemas.openxmlformats.org/officeDocument/2006/relationships/hyperlink" Target="https://ergokantor.pl/kurs-usd-pln" TargetMode="External"/><Relationship Id="rId11" Type="http://schemas.openxmlformats.org/officeDocument/2006/relationships/image" Target="media/section_image2.png"/><Relationship Id="rId12"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2025-12-07T12:59:41+01:00</dcterms:created>
  <dcterms:modified xsi:type="dcterms:W3CDTF">2025-12-07T12:59:41+01:00</dcterms:modified>
</cp:coreProperties>
</file>

<file path=docProps/custom.xml><?xml version="1.0" encoding="utf-8"?>
<Properties xmlns="http://schemas.openxmlformats.org/officeDocument/2006/custom-properties" xmlns:vt="http://schemas.openxmlformats.org/officeDocument/2006/docPropsVTypes"/>
</file>