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Złoty w obliczu ważnych wydarzeń politycznych.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ergokantor.pl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19.04.2017, 7:00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Poświąteczny wtorek nie obfitował w kluczowe wydarzenia makroekonomiczne, jednakże splot wielu informacji spowodował znaczny wzrost zmienności. Sytuacja na półwyspie koreańskim oraz niepewność na bliskim wschodzie ciąży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dolarowi</w:t>
        </w:r>
      </w:hyperlink>
      <w:r>
        <w:rPr>
          <w:rFonts w:ascii="calibri" w:hAnsi="calibri" w:eastAsia="calibri" w:cs="calibri"/>
          <w:sz w:val="24"/>
          <w:szCs w:val="24"/>
        </w:rPr>
        <w:t xml:space="preserve">. Niepewność co do wyników wyborów we Francji, gdzie, aż 4 kandydatów ma duże szanse na wejście do 2 rundy wyborów, przy jednoczesnym spadku poparcia dla eurosceptyków, dodało siły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euro</w:t>
        </w:r>
      </w:hyperlink>
      <w:r>
        <w:rPr>
          <w:rFonts w:ascii="calibri" w:hAnsi="calibri" w:eastAsia="calibri" w:cs="calibri"/>
          <w:sz w:val="24"/>
          <w:szCs w:val="24"/>
        </w:rPr>
        <w:t xml:space="preserve">. Wreszcie odważna Theresa May, która ogłosiła wcześniejsze wybory parlamentarne, by negocjacje w sprawie Brexitu były łatwiejsze i wsparły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funta</w:t>
        </w:r>
      </w:hyperlink>
      <w:r>
        <w:rPr>
          <w:rFonts w:ascii="calibri" w:hAnsi="calibri" w:eastAsia="calibri" w:cs="calibri"/>
          <w:sz w:val="24"/>
          <w:szCs w:val="24"/>
        </w:rPr>
        <w:t xml:space="preserve">. Na tle tak istotnych wydarzeń złotówka reaguje zgodnie z panującymi trendami. Wydaje się, że inwestorzy w ogóle nie wyceniają piątkowego ratingu dla Polski, który ma opublikować agencja ratingowa Standard &amp; Poor's. Choć agencje nie widzą ostatnio istotnych zagrożeń dla Polski, ale zapowiadane zmiany reform prorodzinnych oraz zapowiedzi, co do rozwiązań dotyczących kredytów frankowych i sytuacji z zadłużeniem, wpływają negatywnie na ten stosunkowo dobry obraz polskiej gospodarki.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USDPLN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Złoty znacznie się umocnił w stosunku do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dolara</w:t>
        </w:r>
      </w:hyperlink>
      <w:r>
        <w:rPr>
          <w:rFonts w:ascii="calibri" w:hAnsi="calibri" w:eastAsia="calibri" w:cs="calibri"/>
          <w:sz w:val="24"/>
          <w:szCs w:val="24"/>
        </w:rPr>
        <w:t xml:space="preserve"> i obecnie dąży do zniesienia 61,8% FIBO ostatniego impulsu spadkowego przy 3,9430. Jest to istotny poziom wybroniony już 21 marca, a następnie przebity 26 marca. W przypadku reakcji wzrostowej będzie można mówić o wyrysowaniu się formacji odwróconego RGR. W przypadku dalszych spadków wsparciem będzie poziom ostatniego dołka przy 3,89. Bardziej prawdopodobny jest jednak ruch w górę w ramach impulsu fali 3 struktury 5-cio falowej.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00px; height:390px; margin-left:0px; margin-top:0px; mso-position-horizontal:left; mso-position-vertical:top; mso-position-horizontal-relative:char; mso-position-vertical-relative:line;">
            <w10:wrap type="inline"/>
            <v:imagedata r:id="rId10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GBPPLN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Amplituda zmian ceny we wtorek zaskoczyła nawet największych optymistów. Skok ceny o prawie 12 groszy w kilka godzin był spowodowany zapowiedziami o przedterminowych wyborach do parlamentu. Podaż uaktywniła się na poziomie głębokiego mierzenia 88,6% FIBO przy 5,09. W przypadku dalszych wzrostów oporem będzie poziom szczytów z końca lutego przy 5,11. W razie dalszej aktywności niedźwiedzi wsparciem pozostaje strefa ZZB, przy lokalnych dołkach na 4,9850.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00px; height:390px; margin-left:0px; margin-top:0px; mso-position-horizontal:left; mso-position-vertical:top; mso-position-horizontal-relative:char; mso-position-vertical-relative:line;">
            <w10:wrap type="inline"/>
            <v:imagedata r:id="rId11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EURPLN</w:t>
        </w:r>
      </w:hyperlink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Euro</w:t>
        </w:r>
      </w:hyperlink>
      <w:r>
        <w:rPr>
          <w:rFonts w:ascii="calibri" w:hAnsi="calibri" w:eastAsia="calibri" w:cs="calibri"/>
          <w:sz w:val="24"/>
          <w:szCs w:val="24"/>
        </w:rPr>
        <w:t xml:space="preserve"> w dalszym ciągu w konsolidacji pomiędzy 4,26 a 4,21. Przynajmniej do końca tygodnia, do wyborów we Francji ciężko będzie liczyć na mocne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euro</w:t>
        </w:r>
      </w:hyperlink>
      <w:r>
        <w:rPr>
          <w:rFonts w:ascii="calibri" w:hAnsi="calibri" w:eastAsia="calibri" w:cs="calibri"/>
          <w:sz w:val="24"/>
          <w:szCs w:val="24"/>
        </w:rPr>
        <w:t xml:space="preserve">, dlatego też uważamy, że byki będą liczyć na dobre zakupy w okolicach 4,21-4,22. W przypadku wzrostów oporem pozostaje poziom 4,26.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Komentarz walutowy nie jest rekomendacją w rozumieniu Rozporządzenia MF z 19 października 2005 roku. Został sporządzony w celach informacyjnych i nie powinien stanowić podstawy do podejmowania decyzji inwestycyjnych. Goldem Sp. z o.o., właściciel marki </w:t>
      </w:r>
      <w:hyperlink r:id="rId12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ergokantor.pl</w:t>
        </w:r>
      </w:hyperlink>
      <w:r>
        <w:rPr>
          <w:rFonts w:ascii="calibri" w:hAnsi="calibri" w:eastAsia="calibri" w:cs="calibri"/>
          <w:sz w:val="24"/>
          <w:szCs w:val="24"/>
        </w:rPr>
        <w:t xml:space="preserve"> i autor komentarza nie ponoszą odpowiedzialności za decyzje inwestycyjne podjęte na podstawie informacji zawartych w niniejszym komentarzu.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00px; height:390px; margin-left:0px; margin-top:0px; mso-position-horizontal:left; mso-position-vertical:top; mso-position-horizontal-relative:char; mso-position-vertical-relative:line;">
            <w10:wrap type="inline"/>
            <v:imagedata r:id="rId13" o:title=""/>
          </v:shape>
        </w:pic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hyperlink r:id="rId12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ergokantor.pl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ergokantor.pl/kurs-usd-pln" TargetMode="External"/><Relationship Id="rId8" Type="http://schemas.openxmlformats.org/officeDocument/2006/relationships/hyperlink" Target="https://ergokantor.pl/kurs-eur-pln" TargetMode="External"/><Relationship Id="rId9" Type="http://schemas.openxmlformats.org/officeDocument/2006/relationships/hyperlink" Target="https://ergokantor.pl/kurs-gbp-pln" TargetMode="External"/><Relationship Id="rId10" Type="http://schemas.openxmlformats.org/officeDocument/2006/relationships/image" Target="media/section_image1.png"/><Relationship Id="rId11" Type="http://schemas.openxmlformats.org/officeDocument/2006/relationships/image" Target="media/section_image2.png"/><Relationship Id="rId12" Type="http://schemas.openxmlformats.org/officeDocument/2006/relationships/hyperlink" Target="https://ergokantor.pl/" TargetMode="External"/><Relationship Id="rId13" Type="http://schemas.openxmlformats.org/officeDocument/2006/relationships/image" Target="media/section_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2026-07-28T21:53:11+02:00</dcterms:created>
  <dcterms:modified xsi:type="dcterms:W3CDTF">2026-07-28T21:53:11+02:00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