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Komentarz walutowy dla par USDPLN, EURPLN i GBPPLN - 6.03.2017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Nasz scenariusz na ruch w konsolidacji się sprawdził w całości. W piątek najpierw doszedł do górnego kanału konsolidacji lekko poniżej 4,10 by na wskutek osłabienia się dolara na szerokim rynku zamknąć notowania na poziomie 4,05.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scenariusz na ruch w konsolidacji się sprawdził w całości. W piątek najpierw doszedł do górnego kanału konsolidacji lekko poniżej 4,10 by na wskutek osłabienia się dolara na szerokim rynku zamknąć notowania na poziomie 4,05. W dalszej perspektywie cena dolara zależy głównie od tego jak inwestorzy wycenią 80% prawdopodobieństwo na podwyżkę stóp procentowych w marcu. Nadchodzące tygodnie będą jednymi z trudniejszych do handlowania dolarem, gdyż w najbliższych dniach mamy posiedzenie EBC, piątkowe peyrolls czyli istotne dane z rynku pracy Stanów Zjednoczonych aż w końcu decyzja FED-u o stopach procentowych. W tej chwili wsparciem dla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USDPLN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poziom 4,0420 i w przypadku jego pokonania droga do 3,98 będzie stała otworem. W przypadku wzrostów opór znajduje się na poziomie FIBO 38% w rejonach 4,0940 a w przypadku jego pokonania droga do 4,15 otwarta.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opracowanie własne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ergokantor.pl</w:t>
        </w:r>
      </w:hyperlink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EURPLN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 po zaksięgowaniu lokalnego dołka na 4,2770, na wskutek piątkowej fali osłabienia się dolara odbił do poziomu 4,31. Dopóki cena nie pokona trwale poziomu 4,32 w dalszym ciągu będziemy oczekiwać umocnienia się złotówki w stosunku do euro. Wsparciem dale pozostają lokalne dołki na poziomie 4,2770.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opracowanie własne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GBPPLN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Funt, zgodnie z naszym scenariuszem, osłabił się w stosunku do PLN, testując dołki z początku lutego na poziomie 4,97. W tym rejonie uaktywnił się popyt, któremu nie będzie łatwo pokonać istotny opór w rejonie 5,02. Na tym poziomie wypada górne ograniczenie potencjalnej formacji 1 do 1 największej korekty w lokalnym impulsie spadkowym. Ponadto mamy tutaj do czynienia z price action to znaczy z miejscem gdzie cena już wielokrotnie powstrzymywała popyt lub podaż.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390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opracowanie własne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ergokantor.pl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Powyższy komentarz walutowy nie jest rekomendacją w rozumieniu Rozporządzenia Ministra Finansów z 19 października 2005 roku. Komentarz został sporządzony w celach informacyjnych i nie powinien stanowić podstawy do podejmowania decyzji inwestycyjnych. Goldem Sp. z o.o., właściciel marki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autor komentarza nie ponoszą odpowiedzialności za decyzje inwestycyjne podjęte na podstawie informacji zawartych w niniejszym komentarzu.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___________________________________________________________________________________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 marce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ergokantor.p</w:t>
        </w:r>
      </w:hyperlink>
      <w:r>
        <w:rPr>
          <w:rFonts w:ascii="calibri" w:hAnsi="calibri" w:eastAsia="calibri" w:cs="calibri"/>
          <w:sz w:val="24"/>
          <w:szCs w:val="24"/>
        </w:rPr>
        <w:t xml:space="preserve">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internetowy serwis wymiany walut dla osób indywidualnych oraz przedsiębiorstw. Kursy walut na</w:t>
      </w:r>
      <w:r>
        <w:rPr>
          <w:rFonts w:ascii="calibri" w:hAnsi="calibri" w:eastAsia="calibri" w:cs="calibri"/>
          <w:sz w:val="24"/>
          <w:szCs w:val="24"/>
          <w:b/>
        </w:rPr>
        <w:t xml:space="preserve"> ergokantor.pl </w:t>
      </w:r>
      <w:r>
        <w:rPr>
          <w:rFonts w:ascii="calibri" w:hAnsi="calibri" w:eastAsia="calibri" w:cs="calibri"/>
          <w:sz w:val="24"/>
          <w:szCs w:val="24"/>
        </w:rPr>
        <w:t xml:space="preserve">są aktualizowane co 15 sekund, opierają się na rzeczywistych notowaniach z rynku Forex, co gwarantuje korzystne kursy walut i rzeczywiste oszczędności i zyski dla Klienta. Spółka Goldem Sp. z o.o. – właściciel </w:t>
      </w: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, dysponuje kapitałem w wysokości 1 mln złotych, co jest jednym z najwyższych w branży niebankowych podmiotów wymiany walut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9 korzyści dla, których warto wymieniać walutę w ergokantor.pl: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1. Korzystne kursy walut</w:t>
      </w:r>
    </w:p>
    <w:p>
      <w:r>
        <w:rPr>
          <w:rFonts w:ascii="calibri" w:hAnsi="calibri" w:eastAsia="calibri" w:cs="calibri"/>
          <w:sz w:val="24"/>
          <w:szCs w:val="24"/>
        </w:rPr>
        <w:t xml:space="preserve"> 2. Brak prowizji za wymianę walut</w:t>
      </w:r>
    </w:p>
    <w:p>
      <w:r>
        <w:rPr>
          <w:rFonts w:ascii="calibri" w:hAnsi="calibri" w:eastAsia="calibri" w:cs="calibri"/>
          <w:sz w:val="24"/>
          <w:szCs w:val="24"/>
        </w:rPr>
        <w:t xml:space="preserve"> 3. Szybkość transakcji</w:t>
      </w:r>
    </w:p>
    <w:p>
      <w:r>
        <w:rPr>
          <w:rFonts w:ascii="calibri" w:hAnsi="calibri" w:eastAsia="calibri" w:cs="calibri"/>
          <w:sz w:val="24"/>
          <w:szCs w:val="24"/>
        </w:rPr>
        <w:t xml:space="preserve"> 4. Obsługa wszystkich banków w Polsce </w:t>
      </w:r>
    </w:p>
    <w:p>
      <w:r>
        <w:rPr>
          <w:rFonts w:ascii="calibri" w:hAnsi="calibri" w:eastAsia="calibri" w:cs="calibri"/>
          <w:sz w:val="24"/>
          <w:szCs w:val="24"/>
        </w:rPr>
        <w:t xml:space="preserve"> 5. Obsługa 12 walut </w:t>
      </w:r>
    </w:p>
    <w:p>
      <w:r>
        <w:rPr>
          <w:rFonts w:ascii="calibri" w:hAnsi="calibri" w:eastAsia="calibri" w:cs="calibri"/>
          <w:sz w:val="24"/>
          <w:szCs w:val="24"/>
        </w:rPr>
        <w:t xml:space="preserve"> 6. Możliwość przelewu środków z transakcji wymiany bezpośrednio na konto osoby trzeciej</w:t>
      </w:r>
    </w:p>
    <w:p>
      <w:r>
        <w:rPr>
          <w:rFonts w:ascii="calibri" w:hAnsi="calibri" w:eastAsia="calibri" w:cs="calibri"/>
          <w:sz w:val="24"/>
          <w:szCs w:val="24"/>
        </w:rPr>
        <w:t xml:space="preserve"> 7. Bezpieczeństwo wymiany gwarantowane</w:t>
      </w:r>
    </w:p>
    <w:p>
      <w:r>
        <w:rPr>
          <w:rFonts w:ascii="calibri" w:hAnsi="calibri" w:eastAsia="calibri" w:cs="calibri"/>
          <w:sz w:val="24"/>
          <w:szCs w:val="24"/>
        </w:rPr>
        <w:t xml:space="preserve"> 8. Codzienne komentarze walutowe</w:t>
      </w:r>
    </w:p>
    <w:p>
      <w:r>
        <w:rPr>
          <w:rFonts w:ascii="calibri" w:hAnsi="calibri" w:eastAsia="calibri" w:cs="calibri"/>
          <w:sz w:val="24"/>
          <w:szCs w:val="24"/>
        </w:rPr>
        <w:t xml:space="preserve"> 9. Poczucie humoru…sprawdź: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humor z ergokantor.pl</w:t>
        </w:r>
      </w:hyperlink>
    </w:p>
    <w:p>
      <w:pPr>
        <w:spacing w:before="0" w:after="300"/>
      </w:pP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Kantor internetowy ergokantor.pl </w:t>
        </w:r>
      </w:hyperlink>
      <w:r>
        <w:rPr>
          <w:rFonts w:ascii="calibri" w:hAnsi="calibri" w:eastAsia="calibri" w:cs="calibri"/>
          <w:sz w:val="24"/>
          <w:szCs w:val="24"/>
        </w:rPr>
        <w:t xml:space="preserve">działa 24h/dobę 7 dni w tygodniu, księgowanie transakcji w godzinach pracy kantoru, tj. w dni robocze od godziny 8.00 do 17.00.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Dbamy o zaufanie naszych Klientów i </w:t>
      </w:r>
      <w:r>
        <w:rPr>
          <w:rFonts w:ascii="calibri" w:hAnsi="calibri" w:eastAsia="calibri" w:cs="calibri"/>
          <w:sz w:val="24"/>
          <w:szCs w:val="24"/>
          <w:b/>
        </w:rPr>
        <w:t xml:space="preserve">bezpieczeństwo</w:t>
      </w:r>
      <w:r>
        <w:rPr>
          <w:rFonts w:ascii="calibri" w:hAnsi="calibri" w:eastAsia="calibri" w:cs="calibri"/>
          <w:sz w:val="24"/>
          <w:szCs w:val="24"/>
        </w:rPr>
        <w:t xml:space="preserve"> transakcji – jesteśmy Biurem Usług Płatniczych nadzorowanym przez KNF i GIIF.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Kantor prowadzi czat on-line, a platforma wymiany jest wyjątkowo prosta w obsłudze.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ergokantor.pl</w:t>
      </w:r>
      <w:r>
        <w:rPr>
          <w:rFonts w:ascii="calibri" w:hAnsi="calibri" w:eastAsia="calibri" w:cs="calibri"/>
          <w:sz w:val="24"/>
          <w:szCs w:val="24"/>
        </w:rPr>
        <w:t xml:space="preserve"> to 100% Klientów zadowolonych ze współpracy z nami, co potwierdzają wyniki sondażu niezależnej firmy zewnętrznej Opineo.pl http://www.opineo.pl/opinie/goldem-sp-z-o-o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rgokantor.pl/kurs-usd-pln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://ergokantor.pl/" TargetMode="External"/><Relationship Id="rId10" Type="http://schemas.openxmlformats.org/officeDocument/2006/relationships/hyperlink" Target="http://ergokantor.pl/kurs-eur-pln" TargetMode="External"/><Relationship Id="rId11" Type="http://schemas.openxmlformats.org/officeDocument/2006/relationships/image" Target="media/section_image2.png"/><Relationship Id="rId12" Type="http://schemas.openxmlformats.org/officeDocument/2006/relationships/hyperlink" Target="http://ergokantor.pl/kurs-gbp-pln" TargetMode="External"/><Relationship Id="rId13" Type="http://schemas.openxmlformats.org/officeDocument/2006/relationships/image" Target="media/section_image3.png"/><Relationship Id="rId14" Type="http://schemas.openxmlformats.org/officeDocument/2006/relationships/hyperlink" Target="http://ergokantor.pl/humor-z-ergokantor_pl.html" TargetMode="External"/><Relationship Id="rId15" Type="http://schemas.openxmlformats.org/officeDocument/2006/relationships/hyperlink" Target="http://ergokantor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2026-09-17T12:44:44+02:00</dcterms:created>
  <dcterms:modified xsi:type="dcterms:W3CDTF">2026-09-17T12:44:44+02:00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