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w dłuższej perspektywie</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11.05.2017,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Początek maja był pod znakiem umocnienia się złotówki w stosunku do walut podstawowych. Na </w:t>
      </w:r>
      <w:hyperlink r:id="rId7" w:history="1">
        <w:r>
          <w:rPr>
            <w:rFonts w:ascii="calibri" w:hAnsi="calibri" w:eastAsia="calibri" w:cs="calibri"/>
            <w:color w:val="0000FF"/>
            <w:sz w:val="24"/>
            <w:szCs w:val="24"/>
            <w:u w:val="single"/>
          </w:rPr>
          <w:t xml:space="preserve">dolarze</w:t>
        </w:r>
      </w:hyperlink>
      <w:r>
        <w:rPr>
          <w:rFonts w:ascii="calibri" w:hAnsi="calibri" w:eastAsia="calibri" w:cs="calibri"/>
          <w:sz w:val="24"/>
          <w:szCs w:val="24"/>
        </w:rPr>
        <w:t xml:space="preserve"> zaksięgowaliśmy głębokie mierzenie FIBO 88,6%, po czym doszło do pierwszej reakcji popytowej. Historia dużych impulsów wzrostowych może się powtórzyć, a test poziomu ostatnich szczytów na 4,30 może zostać osiągnięty jeszcze przed wakacjami. Obecnie świeca miesięczna ma duży dolny cień, co może sugerować, iż popyt się aktywował. Mając na uwadze, że rynek będzie w dalszym ciągu wyceniał podwyżkę stóp procentowych w USA przy bierności RPP, można domniemywać, iż w najbliższych miesiącach za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będziemy płacić coraz drożej. Choć polska gospodarka wydaje się być obecnie stabilna i nieposiadająca słabych punktów, to obiektywnie rzecz biorąc, najbliższe miesiące mogą przynieść zagrożenia, które obecnie są "zamiatane pod dywan". Niedocenianym problemem dla gospodarki jest niewątpliwie słaba dynamika wzrostu płac, wzrost zadłużenia oraz niedoszacowane koszty reform prospołecznych. Zwłaszcza ewentualne zwiększenie deficytu budżetowego może mieć duży wpływ na cenę.</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rPr>
        <w:t xml:space="preserve">Na interwale tygodniowym cena w istotny sposób przetestowała linię trendową, jednak aktywacja popytu doprowadziła na tę chwilę przynajmniej do zatarcia zeszłotygodniowych spadków. W przypadku dalszego ruchu w górę cena powinna napotkać opór przy okrągłym poziomie 4 złotych, gdzie mamy także strefę ZZB. Dopiero pokonanie okrągłego poziomu pozwoli na dużej dynamice osiągnąć poziom 4,10. Naszym zdaniem wybicie górą poziomu 4 złotych nie będzie takie proste, a cena prawdopodobnie wielokrotnie będzie ten poziom testować. Patrząc jednak historycznie, należy podkreślić, iż po zmianie trendu ze spadkowego na wzrostowy cena rosła 2-3 tygodnie, a wielość pierwszej reakcji wzrostowej wynosiła 16-18 groszy. W przypadku, gdyby sytuacja miała się powtórzyć, możemy oczekiwać wzrostu ceny do poziomu 4 złotych w ciągu najbliższych 2 tygodni.</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Końcem 2016 roku pokazywaliśmy, iż złotówka ma ogromny potencjał do umocnienia się w stosunku do </w:t>
      </w:r>
      <w:hyperlink r:id="rId10"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Ceny w okolicach 4,50 były spowodowane wzrostem awersji do ryzyka po rozstrzygnięciu wyborów w Wielkiej Brytanii. Sytuacja nieco się poprawiła, a technicznie para zrealizowała ogromną formację RGR. Naszym zdaniem nie ma już miejsca na dalsze spadki bez wyraźnego impulsu ze strony polityków bądź gospodarki. Rynek zdecydowanie wyhamował na 61,8 FIBO impulsu wzrostowego mierzonego od kwietnia 2015 do maja 2016 roku. Precyzja zaksięgowania tego poziomu sugeruje, że popyt wyraźnie czekał na ten moment. Na tę chwilę reakcja nie jest znaczna, jednakże dynamika zmian ceny na </w:t>
      </w:r>
      <w:hyperlink r:id="rId10"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jest mniejsza niż na </w:t>
      </w:r>
      <w:hyperlink r:id="rId7" w:history="1">
        <w:r>
          <w:rPr>
            <w:rFonts w:ascii="calibri" w:hAnsi="calibri" w:eastAsia="calibri" w:cs="calibri"/>
            <w:color w:val="0000FF"/>
            <w:sz w:val="24"/>
            <w:szCs w:val="24"/>
            <w:u w:val="single"/>
          </w:rPr>
          <w:t xml:space="preserve">dolarze</w:t>
        </w:r>
      </w:hyperlink>
      <w:r>
        <w:rPr>
          <w:rFonts w:ascii="calibri" w:hAnsi="calibri" w:eastAsia="calibri" w:cs="calibri"/>
          <w:sz w:val="24"/>
          <w:szCs w:val="24"/>
        </w:rPr>
        <w:t xml:space="preserve">. Warto przyjrzeć się historii, jak zachowywała się cena po zmianie trendu ze spadkowego na wzrostowy. W kwietniu i maju 2015 roku oraz marcu i kwietniu 2015 roku reakcja ceny była i znaczna, bo ponad 20 groszy. Inaczej rzecz się miała w drugiej połowie 2016 roku, gdzie cena także zareagowała wzrostem o ponad 20 groszy jednak w dłuższym czasie. Niewątpliwie warto obserwować sytuację na wykresie miesięcznym, by w najlepszym momencie wejść w rynek.</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p>
    <w:p>
      <w:pPr>
        <w:spacing w:before="0" w:after="300"/>
      </w:pPr>
      <w:r>
        <w:rPr>
          <w:rFonts w:ascii="calibri" w:hAnsi="calibri" w:eastAsia="calibri" w:cs="calibri"/>
          <w:sz w:val="24"/>
          <w:szCs w:val="24"/>
        </w:rPr>
        <w:t xml:space="preserve">Na wykresie tygodniowym wyraźnie widać, że cena przetestowała dołek przy 4,1850 i wyrysowuje wzrostową formację świecową. W przypadku realizacji formacji podwójnego dna oporem będzie poziom 4,27 w myśl zasady ZZB. W przypadku spadków jest możliwe kolejne przetestowanie lokalnych dołków, jednakże scenariuszem bazowym będzie wzrost ceny.</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hyperlink" Target="https://ergokantor.pl/kurs-eur-pln" TargetMode="External"/><Relationship Id="rId11" Type="http://schemas.openxmlformats.org/officeDocument/2006/relationships/image" Target="media/section_image3.png"/><Relationship Id="rId12" Type="http://schemas.openxmlformats.org/officeDocument/2006/relationships/image" Target="media/section_image4.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2026-04-26T01:21:08+02:00</dcterms:created>
  <dcterms:modified xsi:type="dcterms:W3CDTF">2026-04-26T01:21:08+02:00</dcterms:modified>
</cp:coreProperties>
</file>

<file path=docProps/custom.xml><?xml version="1.0" encoding="utf-8"?>
<Properties xmlns="http://schemas.openxmlformats.org/officeDocument/2006/custom-properties" xmlns:vt="http://schemas.openxmlformats.org/officeDocument/2006/docPropsVTypes"/>
</file>