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Technicznie USDPLN znajduje się na lokalnym oporze przy 3,9440.</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w:t>
      </w:r>
    </w:p>
    <w:p>
      <w:r>
        <w:rPr>
          <w:rFonts w:ascii="calibri" w:hAnsi="calibri" w:eastAsia="calibri" w:cs="calibri"/>
          <w:sz w:val="36"/>
          <w:szCs w:val="36"/>
          <w:b/>
        </w:rPr>
        <w:t xml:space="preserve"> 31.03.2017, 7:00</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W 3 dni dolar odrobił 5 groszy do złotówki. To stosunkowo niewiele w porównaniu do przeceny eurodolara, gdzie kurs spadł o ponad 2 centy. Umocnienie dolara generalnie osłania waluty egzotyczne oraz zmienia sentyment do koszyka walut rynków wschodzących. Na tym tle złotówka wypada nieźle, co pozwala podejrzewać, że krótkoterminowo może dojść do znacznej korekty ceny. Technicznie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znajduje się na lokalnym oporze przy 3,9440. W przypadku wzrostów kolejnym oporem będą lokalne szczyty przy 3,98, a w przypadku jego pokonania 4,02 i 4,05. Wsparciem pozostaje strefa popytowa przy lokalnych dołkach przy 3,89.</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hyperlink r:id="rId9"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EUR na szerokim rynku traci po plotkach agencji Reuters o stanowisku EBC w sprawie polityki monetarnej i fiskalnej. Umocnienie się EUR w ostatnich dniach to także efekt pozycjonowania się dużych graczy, którzy chcieli wykorzystać porażkę Prezydenta Trumpa w Kongresie. To w konsekwencji doprowadziło do wzrostów na eurodolarze. Obecny impuls spadkowy na EURUSD wpływa na cenę EUR w stosunku do PLN. Po zaksięgowaniu formacji 1 do 1 cena po dwóch dniach konsolidacji wybiła się dołem. Z wysokiego interwału czasowego (tygodniowy) można wnioskować, że cena zmierza do testu dolnego ograniczenia wzrostowego kanału trendowego. Naszym zdaniem złotówka na tę chwilę jest za mocna i po 3 tygodniach umacniania się rosną szanse na zakończenie trendu spadkowego. W przypadku wzrostów oporem staje się niedawna strefa wsparcia przy 4,2740, a w przypadku jej pokonania w krótkim terminie jest szansa przetestowania poziomu 4,35.</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0" o:title=""/>
          </v:shape>
        </w:pict>
      </w:r>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Sytuacja na funcie jest coraz bardziej interesująca. Wskazywaliśmy już na początku tygodnia, że funt ma dużą szansę na korektę i zdecydowane umocnienie się. W ciągu ostatnich 2 tygodni funt umocnił się w stosunku do dolara i euro, natomiast w stosunku do złotówki się osłabił. Umocnienie się złotówki, to efekt danych makro, jednak zakładamy w scenariuszu bazowym dalsze umocnienie się funta na szerokim rynku, co odbije się także na złotówce. Z technicznego punktu widzenia najbliższym wsparciem dla </w:t>
      </w:r>
      <w:hyperlink r:id="rId11" w:history="1">
        <w:r>
          <w:rPr>
            <w:rFonts w:ascii="calibri" w:hAnsi="calibri" w:eastAsia="calibri" w:cs="calibri"/>
            <w:color w:val="0000FF"/>
            <w:sz w:val="24"/>
            <w:szCs w:val="24"/>
            <w:u w:val="single"/>
          </w:rPr>
          <w:t xml:space="preserve">GBPPLN</w:t>
        </w:r>
      </w:hyperlink>
      <w:r>
        <w:rPr>
          <w:rFonts w:ascii="calibri" w:hAnsi="calibri" w:eastAsia="calibri" w:cs="calibri"/>
          <w:sz w:val="24"/>
          <w:szCs w:val="24"/>
        </w:rPr>
        <w:t xml:space="preserve"> strefa popytowa przy 4,90, a następnie linia trendowa wyrysowana po lokalnych dołkach. W przypadku wzrostów oporem będzie poziom 4,9570, gdzie cena już reagowała w marcu kilkukrotnie.</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 </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źródło: opracowanie własne </w:t>
      </w:r>
      <w:hyperlink r:id="rId13" w:history="1">
        <w:r>
          <w:rPr>
            <w:rFonts w:ascii="calibri" w:hAnsi="calibri" w:eastAsia="calibri" w:cs="calibri"/>
            <w:color w:val="0000FF"/>
            <w:sz w:val="24"/>
            <w:szCs w:val="24"/>
            <w:u w:val="single"/>
          </w:rPr>
          <w:t xml:space="preserve">ergokantor.pl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właściciel marki </w:t>
      </w:r>
      <w:hyperlink r:id="rId13"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image" Target="media/section_image1.png"/><Relationship Id="rId9" Type="http://schemas.openxmlformats.org/officeDocument/2006/relationships/hyperlink" Target="https://ergokantor.pl/kurs-eur-pln" TargetMode="External"/><Relationship Id="rId10" Type="http://schemas.openxmlformats.org/officeDocument/2006/relationships/image" Target="media/section_image2.png"/><Relationship Id="rId11" Type="http://schemas.openxmlformats.org/officeDocument/2006/relationships/hyperlink" Target="https://ergokantor.pl/kurs-gbp-pln" TargetMode="External"/><Relationship Id="rId12" Type="http://schemas.openxmlformats.org/officeDocument/2006/relationships/image" Target="media/section_image3.png"/><Relationship Id="rId13"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2026-07-28T21:52:00+02:00</dcterms:created>
  <dcterms:modified xsi:type="dcterms:W3CDTF">2026-07-28T21:52:00+02:00</dcterms:modified>
</cp:coreProperties>
</file>

<file path=docProps/custom.xml><?xml version="1.0" encoding="utf-8"?>
<Properties xmlns="http://schemas.openxmlformats.org/officeDocument/2006/custom-properties" xmlns:vt="http://schemas.openxmlformats.org/officeDocument/2006/docPropsVTypes"/>
</file>