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Złoty w obliczu danych z USA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ergokantor.pl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03.08.2017, 8:45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Słaby dolar daje paliwa do dalszego umocnienia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złotówki</w:t>
        </w:r>
      </w:hyperlink>
      <w:r>
        <w:rPr>
          <w:rFonts w:ascii="calibri" w:hAnsi="calibri" w:eastAsia="calibri" w:cs="calibri"/>
          <w:sz w:val="24"/>
          <w:szCs w:val="24"/>
        </w:rPr>
        <w:t xml:space="preserve">. Dzisiejsze oraz jutrzejsze dane z USA powinny jednak dodać dolarowi trochę siły. W przeciwnym wypadku na eurodolarze można oczekiwać testu poziomu 1,20, co przełoży się na dalsze umocnieni się złotego.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USDPLN</w:t>
        </w:r>
      </w:hyperlink>
      <w:r>
        <w:rPr>
          <w:rFonts w:ascii="calibri" w:hAnsi="calibri" w:eastAsia="calibri" w:cs="calibri"/>
          <w:sz w:val="24"/>
          <w:szCs w:val="24"/>
        </w:rPr>
        <w:t xml:space="preserve"> wczoraj ustanowił nowe dołki na 3,5750. Kontra podaży była niewielka, co pozwala myśleć, iż w przypadku spełnienia się scenariusza gorszych danych z USA,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dolar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będzie jeszcze tańszy, a test historycznych dołków przy 3,53 jest całkiem możliwy. W przypadku ewentualnej korekty wzrostowej, jej zasięg zależy od siły popytu. Poziom 3,61 powinien zostać wybity bez większych oporów, natomiast kolejny przy 3,67 powinien być już chroniony. Inwestorzy z pewnością będą oczekiwać na dane z amerykańskiego rynku pracy, a kierunek zostanie obrany prawdopodobnie w przyszłym tygodniu.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5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EURPLN</w:t>
        </w:r>
      </w:hyperlink>
      <w:r>
        <w:rPr>
          <w:rFonts w:ascii="calibri" w:hAnsi="calibri" w:eastAsia="calibri" w:cs="calibri"/>
          <w:sz w:val="24"/>
          <w:szCs w:val="24"/>
        </w:rPr>
        <w:t xml:space="preserve"> bez zmian, znajdujemy się w trendzie horyzontalnym, czekając na wybicie. Ruch w górę będzie potwierdzeniem formacji odwróconego RGR z zasięgiem powyżej 4,35. W przypadku ataku podaży możliwy jest test poziomu 4,20, a po jego ewentualnym wybiciu prawdopodobieństwo nowych dołków jest duże.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57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Dzisiaj zapadnie decyzja co do stóp procentowych w Wielkiej Brytanii. Będzie to miało duże znaczenie na kurs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GBPPLN</w:t>
        </w:r>
      </w:hyperlink>
      <w:r>
        <w:rPr>
          <w:rFonts w:ascii="calibri" w:hAnsi="calibri" w:eastAsia="calibri" w:cs="calibri"/>
          <w:sz w:val="24"/>
          <w:szCs w:val="24"/>
        </w:rPr>
        <w:t xml:space="preserve">. Rynek oczekuje bardzo dużej zmienności na parach z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funtem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stosunek głosów za podwyższeniem stóp procentowych będzie wykładnią dla dalszego ruchu. W przypadku wzrostów test 4,86 jest jak najbardziej możliwy i to nawet do końca tygodnia. W przypadku spadków silne wsparcie wyznaczone jest przez historyczne dołki w rejonie 4,6850.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57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Komentarz walutowy nie jest rekomendacją w rozumieniu Rozporządzenia MF z 19 października 2005 roku. Został sporządzony w celach informacyjnych i nie powinien stanowić podstawy do podejmowania decyzji inwestycyjnych. Goldem Sp. z o.o., właściciel marki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autor komentarza nie ponoszą odpowiedzialności za decyzje inwestycyjne podjęte na podstawie informacji zawartych w niniejszym komentarzu.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rgokantor.pl/" TargetMode="External"/><Relationship Id="rId8" Type="http://schemas.openxmlformats.org/officeDocument/2006/relationships/hyperlink" Target="https://ergokantor.pl/kurs-usd-pln" TargetMode="External"/><Relationship Id="rId9" Type="http://schemas.openxmlformats.org/officeDocument/2006/relationships/image" Target="media/section_image1.png"/><Relationship Id="rId10" Type="http://schemas.openxmlformats.org/officeDocument/2006/relationships/hyperlink" Target="https://ergokantor.pl/kurs-eur-pln" TargetMode="External"/><Relationship Id="rId11" Type="http://schemas.openxmlformats.org/officeDocument/2006/relationships/image" Target="media/section_image2.png"/><Relationship Id="rId12" Type="http://schemas.openxmlformats.org/officeDocument/2006/relationships/hyperlink" Target="https://ergokantor.pl/kurs-gbp-pln" TargetMode="External"/><Relationship Id="rId13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2026-07-28T23:42:12+02:00</dcterms:created>
  <dcterms:modified xsi:type="dcterms:W3CDTF">2026-07-28T23:42:12+02:00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