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Komentarz walutowy dla par USDPLN, EURPLN i GBPPLN - 13.03.2017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piątek złotówka umocniła się, ponieważ dolar na szerokim rynku stracił na wartości.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USDPLN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Dolar w dalszym ciągu porusza się w konsolidacji pomiędzy 4,04 a 4,10. W piątek złotówka umocniła się, ponieważ dolar na szerokim rynku stracił na wartości. Istotny wpływ na kurs dolara, w nadchodzącym tygodniu, będzie miała decyzja o podniesieniu stóp procentowych w USA. Scenariuszem bazowym jest pozostanie w konsolidacji aż do środy wieczorem, a następnie po decyzji FED-u umocnienie się dolara do poziomu 4,15. Zalecamy jednakże dużą ostrożność w handlu dolarem w najbliższym tygodniu.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39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9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EURPLN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Euro porusza się w konsolidacji pomiędzy 4,28 a 4,3350. Obecnie po raz trzeci w tym roku testujemy poziom górnego ograniczenia kanału. Poprzednio w tym miejscu aktywowała się podaż. W przypadku wybicia górą droga ku 4,3770 będzie otwarta. W przypadku aktywacji podaży kurs powróci do konsolidacji. Dla dalszych losów kursu EUR znaczenie będzie miała sytuacja na eurodolarze, gdzie zauważamy odreagowanie i ruch w górę. W takim przypadku całkiem możliwe jest dalsze umocnienie się EUR.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39px; margin-left:0px; margin-top:0px; mso-position-horizontal:left; mso-position-vertical:top; mso-position-horizontal-relative:char; mso-position-vertical-relative:line;">
            <w10:wrap type="inline"/>
            <v:imagedata r:id="rId10" o:title=""/>
          </v:shape>
        </w:pic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hyperlink r:id="rId11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GBPPLN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Funt w ostatnich dniach znacząco się osłabił i już niespełna brakuje 2 groszy do zaksięgowanie formacji 1 do 1, o czym pisaliśmy od pewnego czasu. Poziom 4,92 to pierwsze istotne wsparcie i po jego wyłamaniu może dojść do głębszych spadków. W przypadku wzrostów oporem są lokalne szczyty na poziomie 4,98. Naszym zdaniem scenariuszem bazowym jest dotarcie do poziomu 4,92 i w przypadku aktywacji popytu szybki ruch na północ.</w:t>
      </w:r>
    </w:p>
    <w:p>
      <w:pPr>
        <w:spacing w:before="0" w:after="300"/>
      </w:pPr>
    </w:p>
    <w:p>
      <w:pPr>
        <w:jc w:val="center"/>
      </w:pPr>
      <w:r>
        <w:pict>
          <v:shape type="#_x0000_t75" style="width:900px; height:439px; margin-left:0px; margin-top:0px; mso-position-horizontal:left; mso-position-vertical:top; mso-position-horizontal-relative:char; mso-position-vertical-relative:line;">
            <w10:wrap type="inline"/>
            <v:imagedata r:id="rId12" o:title=""/>
          </v:shape>
        </w:pic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13.03.2017, godz. 7:00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źródło zdjęć: opracowanie własne </w:t>
      </w:r>
      <w:hyperlink r:id="rId13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ergokantor.pl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i/>
          <w:iCs/>
        </w:rPr>
        <w:t xml:space="preserve">Powyższy komentarz walutowy nie jest rekomendacją w rozumieniu Rozporządzenia Ministra Finansów z 19 października 2005 roku. Komentarz został sporządzony w celach informacyjnych i nie powinien stanowić podstawy do podejmowania decyzji inwestycyjnych. Goldem Sp. z o.o., właściciel marki </w:t>
      </w:r>
      <w:hyperlink r:id="rId14" w:history="1">
        <w:r>
          <w:rPr>
            <w:rFonts w:ascii="calibri" w:hAnsi="calibri" w:eastAsia="calibri" w:cs="calibri"/>
            <w:color w:val="0000FF"/>
            <w:sz w:val="24"/>
            <w:szCs w:val="24"/>
            <w:i/>
            <w:iCs/>
            <w:u w:val="single"/>
          </w:rPr>
          <w:t xml:space="preserve">ergokantor.pl</w:t>
        </w:r>
      </w:hyperlink>
      <w:r>
        <w:rPr>
          <w:rFonts w:ascii="calibri" w:hAnsi="calibri" w:eastAsia="calibri" w:cs="calibri"/>
          <w:sz w:val="24"/>
          <w:szCs w:val="24"/>
          <w:i/>
          <w:iCs/>
        </w:rPr>
        <w:t xml:space="preserve"> i autor komentarza nie ponoszą odpowiedzialności za decyzje inwestycyjne podjęte na podstawie informacji zawartych w niniejszym komentarzu.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ergokantor.pl/kurs-usd-pln" TargetMode="External"/><Relationship Id="rId8" Type="http://schemas.openxmlformats.org/officeDocument/2006/relationships/image" Target="media/section_image1.png"/><Relationship Id="rId9" Type="http://schemas.openxmlformats.org/officeDocument/2006/relationships/hyperlink" Target="http://ergokantor.pl/kurs-eur-pln" TargetMode="External"/><Relationship Id="rId10" Type="http://schemas.openxmlformats.org/officeDocument/2006/relationships/image" Target="media/section_image2.png"/><Relationship Id="rId11" Type="http://schemas.openxmlformats.org/officeDocument/2006/relationships/hyperlink" Target="http://ergokantor.pl/kurs-gbp-pln" TargetMode="External"/><Relationship Id="rId12" Type="http://schemas.openxmlformats.org/officeDocument/2006/relationships/image" Target="media/section_image3.png"/><Relationship Id="rId13" Type="http://schemas.openxmlformats.org/officeDocument/2006/relationships/hyperlink" Target="http://ergokantor.pl" TargetMode="External"/><Relationship Id="rId14" Type="http://schemas.openxmlformats.org/officeDocument/2006/relationships/hyperlink" Target="http://ergokantor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2026-07-28T21:08:09+02:00</dcterms:created>
  <dcterms:modified xsi:type="dcterms:W3CDTF">2026-07-28T21:08:09+02:00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