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23.03.2017, 9:25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sukcesywnie się umacnia w stosunku do złotego.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 W przypadku przebicia poziomu 4 zł zakończymy krótkoterminowy trend spadkowy.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wczoraj EUR kilkukrotnie testowało poziom 4,29, gdzie pojawiła się podaż, zbijając cenę o grosz. Ponieważ byki i niedźwiedzie nie mają dużej siły na zdecydowany ruch w którąś stronę, dlatego prawdopodobnie wyrysowana zostanie konsolidacja pomiędzy linią trendową a poziomem 4,29. W przypadku spadków wsparciem pozostaną lokalne dołki przy 4,2560, natomiast w przypadku wzrostów oporem będzie mierzenie 61,8% FIBO na poziomie 4,3170.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odrobił część poniesionych strat. Cena wyhamowała na poziomie 4,95, czekając na kolejny impuls i przede wszystkim na dane dzisiaj o 10.30. Możliwe jest wyrysowanie formacji 1 do 1 z miejscem oporu przy 5,05. W przypadku spadków wsparciem pozostają lokalne dołki przy 4,90. Pokonanie tego poziomu pozwoli cenie na zejście do istotnego poziomu 4,84-4,85, gdzie wypada klaster Fibo wyznaczony przez mierzenie 78,6% FIBO z impulsu wzrostowego i 61,8% mierzenia zewnętrznego.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