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ZŁOTY MOCNY JAK ROK TEMU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26.05.2017, 7:00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Pozytywny sentyment do walut rynków wschodzących, w połączeniu z bardzo dobrymi danymi z polskiej gospodarki, pozwala umacniać się złotemu zwłaszcza w stosunku do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dolara</w:t>
        </w:r>
      </w:hyperlink>
      <w:r>
        <w:rPr>
          <w:rFonts w:ascii="calibri" w:hAnsi="calibri" w:eastAsia="calibri" w:cs="calibri"/>
          <w:sz w:val="24"/>
          <w:szCs w:val="24"/>
        </w:rPr>
        <w:t xml:space="preserve">. Dodatkowo ustabilizowanie się sytuacji politycznej i gospodarczej w strefie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</w:t>
        </w:r>
      </w:hyperlink>
      <w:r>
        <w:rPr>
          <w:rFonts w:ascii="calibri" w:hAnsi="calibri" w:eastAsia="calibri" w:cs="calibri"/>
          <w:sz w:val="24"/>
          <w:szCs w:val="24"/>
        </w:rPr>
        <w:t xml:space="preserve"> sprzyja złotówce. Jednakże ten rajd ku umacnianiu się złotego może zostać gwałtownie zatrzymany. Rynek oczekuje na kolejne informacje z gospodarki Stanów Zjednoczonych oraz wyników wyborów w Europie, co będzie powodowało wzrost ryzyka oraz zmienności na rynku walut. Złoty w stosunku do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dolara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tak mocny, jak w pierwszej połowie 2016 roku, czy 2015 roku w przypadku EUR, ale rzut oka na wykresy pokazuje, jak bardzo się skorygował w późniejszym okresie.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czwartek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</w:t>
        </w:r>
      </w:hyperlink>
      <w:r>
        <w:rPr>
          <w:rFonts w:ascii="calibri" w:hAnsi="calibri" w:eastAsia="calibri" w:cs="calibri"/>
          <w:sz w:val="24"/>
          <w:szCs w:val="24"/>
        </w:rPr>
        <w:t xml:space="preserve"> kilkukrotnie testował poziom 3,7120. Tak taniego dolara mieliśmy w marcu 2016 roku. Co ciekawe na eurodolarze mamy poziom 1,12, czyli dokładnie taki jaki był w marcu 2016 roku. Różnica scenariuszy późniejszych ruchów była taka, iż Eurodolar rósł do poziomu 1,15-1,16, 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</w:t>
        </w:r>
      </w:hyperlink>
      <w:r>
        <w:rPr>
          <w:rFonts w:ascii="calibri" w:hAnsi="calibri" w:eastAsia="calibri" w:cs="calibri"/>
          <w:sz w:val="24"/>
          <w:szCs w:val="24"/>
        </w:rPr>
        <w:t xml:space="preserve"> w stosunku do złotówki zmienił trend na wzrostowy, zmniejszając korelację między parami.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krótkim terminie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może przetestować dolne ograniczenie kanału trendowego ze wsparciem na okrągłym poziomie 3,70. W przypadku wzrostów oporem będzie poziom 3,7550, gdzie już kilkukrotnie w tym tygodniu reagowała podaż. W przypadku wybicia tego poziomu dalsze wzrosty może powstrzymać górne ograniczenie kanału trendowego.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0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gorszych danych z gospodarki brytyjskiej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funt</w:t>
        </w:r>
      </w:hyperlink>
      <w:r>
        <w:rPr>
          <w:rFonts w:ascii="calibri" w:hAnsi="calibri" w:eastAsia="calibri" w:cs="calibri"/>
          <w:sz w:val="24"/>
          <w:szCs w:val="24"/>
        </w:rPr>
        <w:t xml:space="preserve"> ponownie się osłabił. Przez prawie 2 tygodnie rynek bronił poziom 4,8360, jednak po czwartkowych danych wsparcie pękło. Kolejnym punktem, który może okazać się zwrotnym dla ceny, może być poziom 4,7680, gdzie wypada głębokie mierzenie 88,6% Fibo, a ponadto cena już reagowała na tym poziomie w listopadzie 2016 roku. Dopóki cena nie wybije nowych dołków, możemy mówić o rysowaniu się prawego ramienia formacji odwróconego RGR. W przypadku wzrostów oporem pozostaje niedawne wsparcie przy 4,8360. Należy jednakże pamiętać, iż z interwału miesięcznego możemy być świadkami kończenia się fali 5 całego impulsu spadkowego, co może sugerować, iż podaż będzie chciała wyrysować jeszcze nowe dołki.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0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szerokiego interwału tygodniowego po raz kolejny jesteśmy poniżej poziomu mierzenia 61,8% Fibo impulsu wzrostowego oraz tuż przy dolnym ograniczeniu kanału trendowego. Bardzo ważne jest zamknięcie się świecy tygodniowej, która może dać nam sygnał do dalszego umocnienia się złotego. W przypadku ruchu w dół cena może przetestować poziom 4,09, natomiast w razie odwrócenia się trendu, korekta może napotkać opór na poziomie 4,1853, a następnie przy okrągłym poziomie 4,20.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0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usd-pln" TargetMode="External"/><Relationship Id="rId8" Type="http://schemas.openxmlformats.org/officeDocument/2006/relationships/hyperlink" Target="https://ergokantor.pl/kurs-eur-pln" TargetMode="External"/><Relationship Id="rId9" Type="http://schemas.openxmlformats.org/officeDocument/2006/relationships/image" Target="media/section_image1.png"/><Relationship Id="rId10" Type="http://schemas.openxmlformats.org/officeDocument/2006/relationships/hyperlink" Target="https://ergokantor.pl/kurs-gbp-pln" TargetMode="External"/><Relationship Id="rId11" Type="http://schemas.openxmlformats.org/officeDocument/2006/relationships/image" Target="media/section_image2.png"/><Relationship Id="rId12" Type="http://schemas.openxmlformats.org/officeDocument/2006/relationships/image" Target="media/section_image3.png"/><Relationship Id="rId13" Type="http://schemas.openxmlformats.org/officeDocument/2006/relationships/hyperlink" Target="https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2024-04-27T00:55:15+02:00</dcterms:created>
  <dcterms:modified xsi:type="dcterms:W3CDTF">2024-04-27T00:55:15+02:00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