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USDPLN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USDPLN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stosunku do USD nasza waluta w dalszym ciągu się umacnia. Obecnie jesteśmy przy minimach z maja 2015 roku. Strefa wsparcia pomiędzy 3,52-3,56 jest bardzo silna i powinna powstrzymać kolejne spadki. Cena reagowała w tym rejonie już kilkukrotnie. Najpierw poziom ten był silnym oporem, a po jego wyłamaniu końcem 2014 roku, stanowiło wsparcie, które było testowane drugi raz na przestrzeni 2,5 roku. Dopóki byki nie przeprowadzą istotnej kontry, przetestowanie dolnego ograniczenia kanału trendowego jest możliwe.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https://ergokantor.pl/zlotowka-dalej-mocna.html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28.08.2017,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USDPLN</w:t>
      </w:r>
    </w:p>
    <w:p>
      <w:r>
        <w:rPr>
          <w:rFonts w:ascii="calibri" w:hAnsi="calibri" w:eastAsia="calibri" w:cs="calibri"/>
          <w:sz w:val="24"/>
          <w:szCs w:val="24"/>
        </w:rPr>
        <w:t xml:space="preserve">W stosunku do USD nasza waluta w dalszym ciągu się umacnia. Obecnie jesteśmy przy minimach z maja 2015 roku. Strefa wsparcia pomiędzy 3,52-3,56 jest bardzo silna i powinna powstrzymać kolejne spadki. Cena reagowała w tym rejonie już kilkukrotnie. Najpierw poziom ten był silnym oporem, a po jego wyłamaniu końcem 2014 roku, stanowiło wsparcie, które było testowane drugi raz na przestrzeni 2,5 roku. Dopóki byki nie przeprowadzą istotnej kontry, przetestowanie dolnego ograniczenia kanału trendowego jest możliwe.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https://ergokantor.pl/zlotowka-dalej-mocna.html</w:t>
      </w:r>
    </w:p>
    <w:p>
      <w:r>
        <w:rPr>
          <w:rFonts w:ascii="calibri" w:hAnsi="calibri" w:eastAsia="calibri" w:cs="calibri"/>
          <w:sz w:val="24"/>
          <w:szCs w:val="24"/>
        </w:rPr>
        <w:t xml:space="preserve">28.08.2017, 9:00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2024-04-23T18:29:56+02:00</dcterms:created>
  <dcterms:modified xsi:type="dcterms:W3CDTF">2024-04-23T18:29:56+02:00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