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Znajdujemy się w pobliżu dolnego ograniczenia wzrostowego kanału trendowego. Po teście kanału z drugiej połowy maja i powrocie, jest szansa na kolejne przetestowanie jednakże ze znacznie większym wybiciem. W okolicach wsparcia przy 4,21 - 4,22 powinien uaktywnić się znaczny popyt, co powinno wynieść cenę co najmniej do poziomu mierzenia 50% Fibo ostatniego impulsu spadkowego, tj. do poziomu szczytu z końca września 4,33.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więcej...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https://ergokantor.pl/sytuacja-zlotego-po-rpp.html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>
      <w:r>
        <w:rPr>
          <w:rFonts w:ascii="calibri" w:hAnsi="calibri" w:eastAsia="calibri" w:cs="calibri"/>
          <w:sz w:val="24"/>
          <w:szCs w:val="24"/>
        </w:rPr>
        <w:t xml:space="preserve">Znajdujemy się w pobliżu dolnego ograniczenia wzrostowego kanału trendowego. Po teście kanału z drugiej połowy maja i powrocie, jest szansa na kolejne przetestowanie jednakże ze znacznie większym wybiciem. W okolicach wsparcia przy 4,21 - 4,22 powinien uaktywnić się znaczny popyt, co powinno wynieść cenę co najmniej do poziomu mierzenia 50% Fibo ostatniego impulsu spadkowego, tj. do poziomu szczytu z końca września 4,33.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 więcej...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https://ergokantor.pl/sytuacja-zlotego-po-rpp.html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2024-04-18T11:25:28+02:00</dcterms:created>
  <dcterms:modified xsi:type="dcterms:W3CDTF">2024-04-18T11:25:28+02:00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